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041897" w14:textId="77777777" w:rsidR="00BD5D8A" w:rsidRPr="00BD5D8A" w:rsidRDefault="00BD5D8A" w:rsidP="00BD5D8A">
      <w:pPr>
        <w:bidi/>
        <w:spacing w:line="360" w:lineRule="auto"/>
        <w:rPr>
          <w:rFonts w:ascii="Roboto" w:eastAsia="Times New Roman" w:hAnsi="Roboto" w:cs="Arial"/>
          <w:b/>
          <w:color w:val="00684B"/>
          <w:sz w:val="36"/>
          <w:szCs w:val="44"/>
          <w:rtl/>
        </w:rPr>
      </w:pPr>
      <w:bookmarkStart w:id="0" w:name="_Hlk168412480"/>
      <w:r>
        <w:rPr>
          <w:rFonts w:ascii="Arial" w:hAnsi="Arial" w:hint="cs"/>
          <w:noProof/>
          <w:sz w:val="22"/>
          <w:rtl/>
        </w:rPr>
        <mc:AlternateContent>
          <mc:Choice Requires="wps">
            <w:drawing>
              <wp:anchor distT="0" distB="0" distL="114300" distR="114300" simplePos="0" relativeHeight="251659264" behindDoc="0" locked="0" layoutInCell="1" allowOverlap="1" wp14:anchorId="664A5567" wp14:editId="4CBB430F">
                <wp:simplePos x="0" y="0"/>
                <wp:positionH relativeFrom="column">
                  <wp:posOffset>4116796</wp:posOffset>
                </wp:positionH>
                <wp:positionV relativeFrom="paragraph">
                  <wp:posOffset>-635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1F7DBC"/>
                        </a:solidFill>
                        <a:ln w="6350">
                          <a:noFill/>
                        </a:ln>
                      </wps:spPr>
                      <wps:txbx>
                        <w:txbxContent>
                          <w:p w14:paraId="46062F23" w14:textId="77777777" w:rsidR="00BD5D8A" w:rsidRPr="00BD5D8A" w:rsidRDefault="00BD5D8A" w:rsidP="00BD5D8A">
                            <w:pPr>
                              <w:bidi/>
                              <w:rPr>
                                <w:rFonts w:ascii="Arial" w:hAnsi="Arial" w:cs="Arial"/>
                                <w:b/>
                                <w:color w:val="FFFFFF"/>
                                <w:sz w:val="36"/>
                                <w:szCs w:val="36"/>
                                <w:rtl/>
                              </w:rPr>
                            </w:pPr>
                            <w:r>
                              <w:rPr>
                                <w:rFonts w:ascii="Arial" w:hAnsi="Arial" w:hint="cs"/>
                                <w:b/>
                                <w:bCs/>
                                <w:color w:val="FFFFFF"/>
                                <w:sz w:val="36"/>
                                <w:szCs w:val="36"/>
                                <w:rtl/>
                              </w:rPr>
                              <w:t>مذكرة التدريس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4A5567" id="_x0000_t202" coordsize="21600,21600" o:spt="202" path="m,l,21600r21600,l21600,xe">
                <v:stroke joinstyle="miter"/>
                <v:path gradientshapeok="t" o:connecttype="rect"/>
              </v:shapetype>
              <v:shape id="Zone de texte 5" o:spid="_x0000_s1026" type="#_x0000_t202" style="position:absolute;left:0;text-align:left;margin-left:324.15pt;margin-top:-.05pt;width:1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" fillcolor="#1f7dbc" stroked="f" strokeweight=".5pt">
                <v:textbox>
                  <w:txbxContent>
                    <w:p w14:paraId="46062F23" w14:textId="77777777" w:rsidR="00BD5D8A" w:rsidRPr="00BD5D8A" w:rsidRDefault="00BD5D8A" w:rsidP="00BD5D8A">
                      <w:pPr>
                        <w:bidi/>
                        <w:rPr>
                          <w:rFonts w:ascii="Arial" w:hAnsi="Arial" w:cs="Arial"/>
                          <w:b/>
                          <w:color w:val="FFFFFF"/>
                          <w:sz w:val="36"/>
                          <w:szCs w:val="36"/>
                          <w:rtl/>
                        </w:rPr>
                      </w:pPr>
                      <w:r>
                        <w:rPr>
                          <w:rFonts w:ascii="Arial" w:hAnsi="Arial" w:hint="cs"/>
                          <w:b/>
                          <w:bCs/>
                          <w:color w:val="FFFFFF"/>
                          <w:sz w:val="36"/>
                          <w:szCs w:val="36"/>
                          <w:rtl/>
                        </w:rPr>
                        <w:t>مذكرة التدريس</w:t>
                      </w:r>
                    </w:p>
                  </w:txbxContent>
                </v:textbox>
              </v:shape>
            </w:pict>
          </mc:Fallback>
        </mc:AlternateContent>
      </w:r>
    </w:p>
    <w:p w14:paraId="4A302CB3" w14:textId="77777777" w:rsidR="00BD5D8A" w:rsidRPr="00BD5D8A" w:rsidRDefault="00BD5D8A" w:rsidP="00BD5D8A">
      <w:pPr>
        <w:spacing w:line="360" w:lineRule="auto"/>
        <w:rPr>
          <w:rFonts w:ascii="Roboto" w:eastAsia="Times New Roman" w:hAnsi="Roboto" w:cs="Arial"/>
          <w:b/>
          <w:color w:val="00684B"/>
          <w:sz w:val="36"/>
          <w:szCs w:val="44"/>
          <w:lang w:eastAsia="en-SG"/>
        </w:rPr>
      </w:pPr>
    </w:p>
    <w:p w14:paraId="352FB2AF" w14:textId="3607DB77" w:rsidR="00BD5D8A" w:rsidRPr="00BD5D8A" w:rsidRDefault="00BD5D8A" w:rsidP="00BD5D8A">
      <w:pPr>
        <w:bidi/>
        <w:spacing w:after="120" w:line="276" w:lineRule="auto"/>
        <w:rPr>
          <w:rFonts w:ascii="Roboto Slab" w:eastAsia="Times New Roman" w:hAnsi="Roboto Slab" w:cs="Arial"/>
          <w:b/>
          <w:color w:val="00684B"/>
          <w:sz w:val="44"/>
          <w:szCs w:val="44"/>
          <w:rtl/>
        </w:rPr>
      </w:pPr>
      <w:bookmarkStart w:id="1" w:name="_Hlk168432909"/>
      <w:r>
        <w:rPr>
          <w:rFonts w:ascii="Roboto Slab" w:hAnsi="Roboto Slab" w:hint="cs"/>
          <w:b/>
          <w:bCs/>
          <w:color w:val="00684B"/>
          <w:sz w:val="44"/>
          <w:szCs w:val="44"/>
          <w:rtl/>
        </w:rPr>
        <w:t>المفاوضات النقابية</w:t>
      </w:r>
      <w:bookmarkEnd w:id="1"/>
    </w:p>
    <w:p w14:paraId="01E6AD62" w14:textId="5807B9D8" w:rsidR="00BD5D8A" w:rsidRPr="00BD5D8A" w:rsidRDefault="00C060AB" w:rsidP="00BD5D8A">
      <w:pPr>
        <w:framePr w:hSpace="181" w:vSpace="181" w:wrap="notBeside" w:vAnchor="page" w:hAnchor="page" w:x="1419" w:y="11642"/>
        <w:bidi/>
        <w:spacing w:line="276" w:lineRule="auto"/>
        <w:rPr>
          <w:rFonts w:ascii="Roboto" w:eastAsia="Times New Roman" w:hAnsi="Roboto" w:cs="Arial"/>
          <w:sz w:val="20"/>
          <w:rtl/>
        </w:rPr>
      </w:pPr>
      <w:bookmarkStart w:id="2" w:name="_Hlk168412594"/>
      <w:bookmarkEnd w:id="0"/>
      <w:r>
        <w:rPr>
          <w:rFonts w:ascii="Roboto" w:hAnsi="Roboto"/>
          <w:sz w:val="20"/>
          <w:szCs w:val="20"/>
          <w:lang w:val="fr-FR"/>
        </w:rPr>
        <w:t>11</w:t>
      </w:r>
      <w:r w:rsidR="00BD5D8A">
        <w:rPr>
          <w:rFonts w:ascii="Roboto" w:hAnsi="Roboto" w:hint="cs"/>
          <w:sz w:val="20"/>
          <w:szCs w:val="20"/>
          <w:rtl/>
        </w:rPr>
        <w:t>/2024-6922</w:t>
      </w:r>
    </w:p>
    <w:p w14:paraId="099638DC" w14:textId="6E467224" w:rsidR="00BD5D8A" w:rsidRDefault="00BD5D8A" w:rsidP="00BD5D8A">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rtl/>
        </w:rPr>
      </w:pPr>
      <w:bookmarkStart w:id="3" w:name="_Hlk168421402"/>
      <w:bookmarkStart w:id="4" w:name="_Hlk168423338"/>
      <w:bookmarkStart w:id="5" w:name="_Hlk168412544"/>
      <w:bookmarkEnd w:id="2"/>
      <w:r>
        <w:rPr>
          <w:rFonts w:ascii="Roboto" w:hAnsi="Roboto" w:hint="cs"/>
          <w:sz w:val="20"/>
          <w:szCs w:val="20"/>
          <w:rtl/>
        </w:rPr>
        <w:t xml:space="preserve">كتب هذه المذكرة التعليمية </w:t>
      </w:r>
      <w:bookmarkEnd w:id="3"/>
      <w:bookmarkEnd w:id="4"/>
      <w:r>
        <w:rPr>
          <w:rFonts w:ascii="Roboto" w:hAnsi="Roboto" w:hint="cs"/>
          <w:sz w:val="20"/>
          <w:szCs w:val="20"/>
          <w:rtl/>
        </w:rPr>
        <w:t xml:space="preserve">ماركوس برونو، خريج ماجستير إدارة الأعمال من </w:t>
      </w:r>
      <w:r>
        <w:rPr>
          <w:rFonts w:ascii="Roboto" w:hAnsi="Roboto"/>
          <w:sz w:val="20"/>
          <w:szCs w:val="20"/>
        </w:rPr>
        <w:t>INSEAD</w:t>
      </w:r>
      <w:r>
        <w:rPr>
          <w:rFonts w:ascii="Roboto" w:hAnsi="Roboto" w:hint="cs"/>
          <w:sz w:val="20"/>
          <w:szCs w:val="20"/>
          <w:rtl/>
        </w:rPr>
        <w:t xml:space="preserve">، تحت إشراف مارتن شواينسبيرج، أستاذ مشارك في السلوك التنظيمي في </w:t>
      </w:r>
      <w:r>
        <w:rPr>
          <w:rFonts w:ascii="Roboto" w:hAnsi="Roboto"/>
          <w:sz w:val="20"/>
          <w:szCs w:val="20"/>
        </w:rPr>
        <w:t>ESMT</w:t>
      </w:r>
      <w:r>
        <w:rPr>
          <w:rFonts w:ascii="Roboto" w:hAnsi="Roboto" w:hint="cs"/>
          <w:sz w:val="20"/>
          <w:szCs w:val="20"/>
          <w:rtl/>
        </w:rPr>
        <w:t xml:space="preserve"> برلين، وهوراسيو فالكاو، أستاذ ممارسة إدارة علوم القرار في </w:t>
      </w:r>
      <w:r>
        <w:rPr>
          <w:rFonts w:ascii="Roboto" w:hAnsi="Roboto"/>
          <w:sz w:val="20"/>
          <w:szCs w:val="20"/>
        </w:rPr>
        <w:t>INSEAD</w:t>
      </w:r>
      <w:r>
        <w:rPr>
          <w:rFonts w:ascii="Roboto" w:hAnsi="Roboto" w:hint="cs"/>
          <w:sz w:val="20"/>
          <w:szCs w:val="20"/>
          <w:rtl/>
        </w:rPr>
        <w:t xml:space="preserve">، وإريك أولمان، أستاذ السلوك التنظيمي في </w:t>
      </w:r>
      <w:r>
        <w:rPr>
          <w:rFonts w:ascii="Roboto" w:hAnsi="Roboto"/>
          <w:sz w:val="20"/>
          <w:szCs w:val="20"/>
        </w:rPr>
        <w:t>INSEAD</w:t>
      </w:r>
      <w:r>
        <w:rPr>
          <w:rFonts w:ascii="Roboto" w:hAnsi="Roboto" w:hint="cs"/>
          <w:sz w:val="20"/>
          <w:szCs w:val="20"/>
          <w:rtl/>
        </w:rPr>
        <w:t>، كوسيلة مساعدة للمُحاضرين عند مناقشة مسرحية "</w:t>
      </w:r>
      <w:r>
        <w:rPr>
          <w:rFonts w:ascii="Roboto" w:hAnsi="Roboto" w:hint="cs"/>
          <w:i/>
          <w:iCs/>
          <w:sz w:val="20"/>
          <w:szCs w:val="20"/>
          <w:rtl/>
        </w:rPr>
        <w:t>المفاوضات النقابية</w:t>
      </w:r>
      <w:r>
        <w:rPr>
          <w:rFonts w:ascii="Roboto" w:hAnsi="Roboto" w:hint="cs"/>
          <w:sz w:val="20"/>
          <w:szCs w:val="20"/>
          <w:rtl/>
        </w:rPr>
        <w:t>" في الفصول الدراسية.</w:t>
      </w:r>
    </w:p>
    <w:p w14:paraId="6BD90620" w14:textId="4D1B6B5B" w:rsidR="0024067D" w:rsidRPr="00BD5D8A" w:rsidRDefault="0024067D" w:rsidP="00BD5D8A">
      <w:pPr>
        <w:framePr w:w="9044" w:hSpace="181" w:vSpace="181" w:wrap="notBeside" w:vAnchor="page" w:hAnchor="page" w:x="1419" w:y="12061"/>
        <w:tabs>
          <w:tab w:val="left" w:pos="5040"/>
        </w:tabs>
        <w:bidi/>
        <w:spacing w:after="120" w:line="240" w:lineRule="atLeast"/>
        <w:jc w:val="both"/>
        <w:rPr>
          <w:rFonts w:ascii="Roboto" w:eastAsia="Times New Roman" w:hAnsi="Roboto" w:cs="Arial"/>
          <w:sz w:val="20"/>
          <w:rtl/>
        </w:rPr>
      </w:pPr>
      <w:r>
        <w:rPr>
          <w:rFonts w:ascii="Roboto" w:hAnsi="Roboto" w:hint="cs"/>
          <w:sz w:val="20"/>
          <w:szCs w:val="20"/>
          <w:rtl/>
        </w:rPr>
        <w:t>يتوجه المؤلفون بالشكر الجزيل للتمويل المُقدم من معهد هوفمان.</w:t>
      </w:r>
    </w:p>
    <w:p w14:paraId="63100280" w14:textId="77777777" w:rsidR="00BD5D8A" w:rsidRDefault="00BD5D8A" w:rsidP="00BD5D8A">
      <w:pPr>
        <w:framePr w:w="9044" w:hSpace="181" w:vSpace="181" w:wrap="notBeside" w:vAnchor="page" w:hAnchor="page" w:x="1419" w:y="12061"/>
        <w:widowControl w:val="0"/>
        <w:tabs>
          <w:tab w:val="left" w:pos="5040"/>
        </w:tabs>
        <w:bidi/>
        <w:spacing w:after="120" w:line="240" w:lineRule="atLeast"/>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8" w:history="1">
        <w:r>
          <w:rPr>
            <w:rFonts w:ascii="Roboto" w:hAnsi="Roboto"/>
            <w:color w:val="0000FF"/>
            <w:sz w:val="20"/>
            <w:u w:val="single"/>
          </w:rPr>
          <w:t>https://publishing.insead.edu/</w:t>
        </w:r>
      </w:hyperlink>
      <w:r>
        <w:rPr>
          <w:rFonts w:ascii="Roboto" w:hAnsi="Roboto"/>
          <w:color w:val="1F497D"/>
          <w:sz w:val="20"/>
          <w:szCs w:val="20"/>
        </w:rPr>
        <w:t>.</w:t>
      </w:r>
    </w:p>
    <w:p w14:paraId="4C367347" w14:textId="77777777" w:rsidR="00C060AB" w:rsidRPr="00C060AB" w:rsidRDefault="00C060AB" w:rsidP="00C060AB">
      <w:pPr>
        <w:framePr w:w="9044" w:hSpace="181" w:vSpace="181" w:wrap="notBeside" w:vAnchor="page" w:hAnchor="page" w:x="1419" w:y="12061"/>
        <w:widowControl w:val="0"/>
        <w:tabs>
          <w:tab w:val="left" w:pos="5040"/>
        </w:tabs>
        <w:bidi/>
        <w:spacing w:after="120" w:line="240" w:lineRule="atLeast"/>
        <w:rPr>
          <w:rFonts w:ascii="Roboto" w:eastAsia="Times New Roman" w:hAnsi="Roboto" w:cs="Arial"/>
          <w:bCs/>
          <w:sz w:val="20"/>
          <w:lang w:val="en-GB"/>
        </w:rPr>
      </w:pPr>
      <w:r w:rsidRPr="00C060AB">
        <w:rPr>
          <w:rFonts w:ascii="Roboto" w:eastAsia="Times New Roman" w:hAnsi="Roboto" w:cs="Arial"/>
          <w:bCs/>
          <w:sz w:val="20"/>
          <w:lang w:val="en-GB"/>
        </w:rPr>
        <w:t>Translated using an LLM (Large Language Model) and edited by Tilti Multilingual SIA, with the permission of INSEAD.</w:t>
      </w:r>
    </w:p>
    <w:p w14:paraId="493B65FC" w14:textId="619A4CAB" w:rsidR="00C060AB" w:rsidRPr="00C060AB" w:rsidRDefault="00C060AB" w:rsidP="00C060AB">
      <w:pPr>
        <w:framePr w:w="9044" w:hSpace="181" w:vSpace="181" w:wrap="notBeside" w:vAnchor="page" w:hAnchor="page" w:x="1419" w:y="12061"/>
        <w:widowControl w:val="0"/>
        <w:tabs>
          <w:tab w:val="left" w:pos="5040"/>
        </w:tabs>
        <w:bidi/>
        <w:spacing w:after="120" w:line="240" w:lineRule="atLeast"/>
        <w:rPr>
          <w:rFonts w:ascii="Roboto" w:eastAsia="Times New Roman" w:hAnsi="Roboto" w:cs="Arial"/>
          <w:bCs/>
          <w:i/>
          <w:iCs/>
          <w:sz w:val="20"/>
          <w:rtl/>
          <w:lang w:val="en-GB"/>
        </w:rPr>
      </w:pPr>
      <w:r w:rsidRPr="00C060AB">
        <w:rPr>
          <w:rFonts w:ascii="Roboto" w:eastAsia="Times New Roman" w:hAnsi="Roboto" w:cs="Arial"/>
          <w:bCs/>
          <w:sz w:val="20"/>
          <w:lang w:val="en-GB"/>
        </w:rPr>
        <w:t xml:space="preserve">This translation, Copyright © 2024 INSEAD. The original </w:t>
      </w:r>
      <w:r>
        <w:rPr>
          <w:rFonts w:ascii="Roboto" w:eastAsia="Times New Roman" w:hAnsi="Roboto" w:cs="Arial"/>
          <w:bCs/>
          <w:sz w:val="20"/>
          <w:lang w:val="en-GB"/>
        </w:rPr>
        <w:t>teaching note</w:t>
      </w:r>
      <w:r w:rsidRPr="00C060AB">
        <w:rPr>
          <w:rFonts w:ascii="Roboto" w:eastAsia="Times New Roman" w:hAnsi="Roboto" w:cs="Arial"/>
          <w:bCs/>
          <w:sz w:val="20"/>
          <w:lang w:val="en-GB"/>
        </w:rPr>
        <w:t xml:space="preserve"> is entitled “</w:t>
      </w:r>
      <w:r w:rsidRPr="00C060AB">
        <w:rPr>
          <w:rFonts w:ascii="Roboto" w:eastAsia="Times New Roman" w:hAnsi="Roboto" w:cs="Arial"/>
          <w:bCs/>
          <w:i/>
          <w:iCs/>
          <w:sz w:val="20"/>
          <w:lang w:val="en-GB"/>
        </w:rPr>
        <w:t xml:space="preserve">The </w:t>
      </w:r>
      <w:r>
        <w:rPr>
          <w:rFonts w:ascii="Roboto" w:eastAsia="Times New Roman" w:hAnsi="Roboto" w:cs="Arial"/>
          <w:bCs/>
          <w:i/>
          <w:iCs/>
          <w:sz w:val="20"/>
          <w:lang w:val="en-GB"/>
        </w:rPr>
        <w:t>Union Negotiation</w:t>
      </w:r>
      <w:r w:rsidRPr="00C060AB">
        <w:rPr>
          <w:rFonts w:ascii="Roboto" w:eastAsia="Times New Roman" w:hAnsi="Roboto" w:cs="Arial"/>
          <w:bCs/>
          <w:sz w:val="20"/>
          <w:lang w:val="en-GB"/>
        </w:rPr>
        <w:t>” (06/2024-692</w:t>
      </w:r>
      <w:r>
        <w:rPr>
          <w:rFonts w:ascii="Roboto" w:eastAsia="Times New Roman" w:hAnsi="Roboto" w:cs="Arial"/>
          <w:bCs/>
          <w:sz w:val="20"/>
          <w:lang w:val="en-GB"/>
        </w:rPr>
        <w:t>2</w:t>
      </w:r>
      <w:r w:rsidRPr="00C060AB">
        <w:rPr>
          <w:rFonts w:ascii="Roboto" w:eastAsia="Times New Roman" w:hAnsi="Roboto" w:cs="Arial"/>
          <w:bCs/>
          <w:sz w:val="20"/>
          <w:lang w:val="en-GB"/>
        </w:rPr>
        <w:t>), Copyright © 2024 INSEAD</w:t>
      </w:r>
    </w:p>
    <w:p w14:paraId="36BF3806" w14:textId="77777777" w:rsidR="00C060AB" w:rsidRPr="00BD5D8A" w:rsidRDefault="00C060AB" w:rsidP="00C060AB">
      <w:pPr>
        <w:framePr w:w="9044" w:hSpace="181" w:vSpace="181" w:wrap="notBeside" w:vAnchor="page" w:hAnchor="page" w:x="1419" w:y="12061"/>
        <w:widowControl w:val="0"/>
        <w:tabs>
          <w:tab w:val="left" w:pos="5040"/>
        </w:tabs>
        <w:bidi/>
        <w:spacing w:after="120" w:line="240" w:lineRule="atLeast"/>
        <w:rPr>
          <w:rFonts w:ascii="Roboto" w:eastAsia="Times New Roman" w:hAnsi="Roboto" w:cs="Arial"/>
          <w:sz w:val="20"/>
          <w:rtl/>
          <w:lang w:bidi="ar-SA"/>
        </w:rPr>
      </w:pPr>
    </w:p>
    <w:bookmarkEnd w:id="5"/>
    <w:p w14:paraId="54119134" w14:textId="77777777" w:rsidR="00BD5D8A" w:rsidRPr="00BD5D8A" w:rsidRDefault="00BD5D8A" w:rsidP="007E1454">
      <w:pPr>
        <w:pStyle w:val="Title"/>
        <w:rPr>
          <w:lang w:val="en-GB"/>
        </w:rPr>
        <w:sectPr w:rsidR="00BD5D8A" w:rsidRPr="00BD5D8A" w:rsidSect="00BD5D8A">
          <w:headerReference w:type="even" r:id="rId9"/>
          <w:headerReference w:type="default" r:id="rId10"/>
          <w:footerReference w:type="even" r:id="rId11"/>
          <w:footerReference w:type="default" r:id="rId12"/>
          <w:headerReference w:type="first" r:id="rId13"/>
          <w:footerReference w:type="first" r:id="rId14"/>
          <w:pgSz w:w="11900" w:h="16840" w:code="9"/>
          <w:pgMar w:top="2569" w:right="1418" w:bottom="1531" w:left="1418" w:header="709" w:footer="709" w:gutter="0"/>
          <w:cols w:space="708"/>
          <w:docGrid w:linePitch="360"/>
        </w:sectPr>
      </w:pPr>
    </w:p>
    <w:p w14:paraId="264592A9" w14:textId="2A1DA109" w:rsidR="0032311C" w:rsidRPr="00BD5D8A" w:rsidRDefault="00CC6BC1" w:rsidP="00BD5D8A">
      <w:pPr>
        <w:pStyle w:val="StandardParagraph"/>
        <w:bidi/>
        <w:rPr>
          <w:rtl/>
        </w:rPr>
      </w:pPr>
      <w:r>
        <w:rPr>
          <w:rFonts w:hint="cs"/>
          <w:rtl/>
        </w:rPr>
        <w:lastRenderedPageBreak/>
        <w:t>هذه المذكرة التعليمية مخصصة لمُحاضر الدورة، وينبغي عدم توزيعها على الطلاب.</w:t>
      </w:r>
      <w:r>
        <w:t xml:space="preserve"> </w:t>
      </w:r>
      <w:r>
        <w:rPr>
          <w:rFonts w:hint="cs"/>
          <w:rtl/>
        </w:rPr>
        <w:t>تحتوي الحالة الخاصة بإستراتيجية التفاوض هذه على عدد من النقاط الرئيسية التي يمكن مشاركتها مع الفصل.</w:t>
      </w:r>
      <w:r>
        <w:t xml:space="preserve"> </w:t>
      </w:r>
    </w:p>
    <w:p w14:paraId="47B79D4F" w14:textId="64FE0459" w:rsidR="009E516A" w:rsidRPr="00EB3A1C" w:rsidRDefault="009E516A" w:rsidP="00BD5D8A">
      <w:pPr>
        <w:pStyle w:val="Title1"/>
        <w:bidi/>
        <w:rPr>
          <w:rtl/>
        </w:rPr>
      </w:pPr>
      <w:r>
        <w:rPr>
          <w:rFonts w:hint="cs"/>
          <w:rtl/>
        </w:rPr>
        <w:t>الثقة المفرطة، والتفكير بالتمني، والإجهاد</w:t>
      </w:r>
    </w:p>
    <w:p w14:paraId="2CBC6BB4" w14:textId="6AD2D4E4" w:rsidR="00C96A53" w:rsidRPr="00BD5D8A" w:rsidRDefault="009E516A" w:rsidP="00BD5D8A">
      <w:pPr>
        <w:pStyle w:val="StandardParagraph"/>
        <w:bidi/>
        <w:rPr>
          <w:rtl/>
        </w:rPr>
      </w:pPr>
      <w:r>
        <w:rPr>
          <w:rFonts w:hint="cs"/>
          <w:rtl/>
        </w:rPr>
        <w:t>في هذه الحالة، وقع أندريس في كثير من الأحيان ضحية لما يبدو أنه مزيج من الثقة المفرطة والتفكير بالتمني والإجهاد.</w:t>
      </w:r>
      <w:r>
        <w:t xml:space="preserve"> </w:t>
      </w:r>
      <w:r>
        <w:rPr>
          <w:rFonts w:hint="cs"/>
          <w:rtl/>
        </w:rPr>
        <w:t>فعندما واجه أندريس القرار المروع بالتفاوض مع النقابات التي كان يحتقرها، الأمر الذي سيستغرق شهورًا من وقته وسيكون تعاملًا مزعجًا للغاية، غالبًا ما اختار أندريس أن يفعل شيئًا مختلفًا حتى لو كان يعلم أن التحدث إلى النقابة هو مسار العمل الصحيح.</w:t>
      </w:r>
      <w:r>
        <w:t xml:space="preserve"> </w:t>
      </w:r>
      <w:r>
        <w:rPr>
          <w:rFonts w:hint="cs"/>
          <w:rtl/>
        </w:rPr>
        <w:t>كان أندريس واثقًا بشكل مفرط من أنه يمكن أن ينجح -من خلال مسار عمل مختلف وأقل عقلانية- في التحدث إلى النقابات، ثم كان واثقًا مرة أخرى بشكل مفرط من أن النقابات لن تكتشف الأمر أو لن تفعل شيئًا حيال ذلك ( هوفراج، 2004؛ وينشتاين، 1980).</w:t>
      </w:r>
      <w:r>
        <w:t xml:space="preserve"> </w:t>
      </w:r>
    </w:p>
    <w:p w14:paraId="42FB62DB" w14:textId="28E68814" w:rsidR="00C96A53" w:rsidRPr="00BD5D8A" w:rsidRDefault="009E516A" w:rsidP="00BD5D8A">
      <w:pPr>
        <w:pStyle w:val="StandardParagraph"/>
        <w:bidi/>
        <w:rPr>
          <w:rtl/>
        </w:rPr>
      </w:pPr>
      <w:r>
        <w:rPr>
          <w:rFonts w:hint="cs"/>
          <w:rtl/>
        </w:rPr>
        <w:t>وربما لم تكن الثقة المفرطة هي المتهم الوحيد، بل كان تفكيره المتمني أيضًا (كوندا، 1990)، لأنه كان يرغب عاطفيًا في تجنب المحادثات مع النقابة، لدرجة أنه كان سينخرط في أي مسار عمل معقول آخر تحت أي ذريعة، بينما كان يتمنى من كل قلبه أن يفعل الشيء الصحيح.</w:t>
      </w:r>
      <w:r>
        <w:t xml:space="preserve"> </w:t>
      </w:r>
    </w:p>
    <w:p w14:paraId="500253F8" w14:textId="06C268C7" w:rsidR="009E516A" w:rsidRPr="00BD5D8A" w:rsidRDefault="009E516A" w:rsidP="00BD5D8A">
      <w:pPr>
        <w:pStyle w:val="StandardParagraph"/>
        <w:bidi/>
        <w:rPr>
          <w:rtl/>
        </w:rPr>
      </w:pPr>
      <w:r>
        <w:rPr>
          <w:rFonts w:hint="cs"/>
          <w:rtl/>
        </w:rPr>
        <w:t>ولكن حتى التفكير بالتمني لا يمكن أن يكون مسؤولًا وحده، لأن أندريس، على الرغم من صغر سنه وقلة خبرته، ربما كان مثقلًا بعبء معرفي وعاطفي في وقت اتخاذ بعض هذه القرارات، لأنه كان يحاول إثارة إعجاب والده، وإدارة شركة ذات أداء ضعيف، والتعامل مع النقابات التي يكرهها، دون الكثير من الدعم أو التوجيه.</w:t>
      </w:r>
    </w:p>
    <w:p w14:paraId="6DF17F97" w14:textId="234B9228" w:rsidR="00C96A53" w:rsidRPr="002D18D3" w:rsidRDefault="00C96A53" w:rsidP="00BD5D8A">
      <w:pPr>
        <w:pStyle w:val="StandardParagraph"/>
        <w:bidi/>
        <w:rPr>
          <w:rtl/>
        </w:rPr>
      </w:pPr>
      <w:r>
        <w:rPr>
          <w:rFonts w:hint="cs"/>
          <w:rtl/>
        </w:rPr>
        <w:t>أخيرًا، وجد أندريس نفسه في بعض الأحيان بلا نوم، ويقود سيارته لساعات من موقع إلى آخر، ويعقد ما بدا كأنه اجتماعات لا نهاية لها، ولا يزال يرى النقابة تخلق كل أنواع المشاكل غير الضرورية في أسوأ اللحظات.</w:t>
      </w:r>
      <w:r>
        <w:t xml:space="preserve"> </w:t>
      </w:r>
      <w:r>
        <w:rPr>
          <w:rFonts w:hint="cs"/>
          <w:rtl/>
        </w:rPr>
        <w:t>وليس من المستبعد أن أندريس قد عانى من التوتر والإجهاد، مما قلل من قدرته على اتخاذ قرارات جيدة وحفزه على التغاضي عن التفاصيل التي ثبت أنها خطيرة للغاية بعد ذلك (دانزيجر، ليفاف، وأفنيم بيسو، 2011؛ كروجلانسكي وويبستر، 1996).</w:t>
      </w:r>
      <w:r>
        <w:t xml:space="preserve"> </w:t>
      </w:r>
      <w:r>
        <w:rPr>
          <w:rFonts w:hint="cs"/>
          <w:rtl/>
        </w:rPr>
        <w:t>كان من الممكن أن يكون الإجهاد والضغط معًا بمثابة مزيج إداري خطير للغاية بحيث لا يستطيع أندريس توليه.</w:t>
      </w:r>
    </w:p>
    <w:p w14:paraId="49278763" w14:textId="7F445B9A" w:rsidR="00EB3A1C" w:rsidRPr="00BD5D8A" w:rsidRDefault="00EB3A1C" w:rsidP="00BD5D8A">
      <w:pPr>
        <w:pStyle w:val="StandardParagraph"/>
        <w:bidi/>
        <w:rPr>
          <w:rtl/>
        </w:rPr>
      </w:pPr>
      <w:r>
        <w:rPr>
          <w:rFonts w:hint="cs"/>
          <w:b/>
          <w:bCs/>
          <w:rtl/>
        </w:rPr>
        <w:t>خلاصة القول:</w:t>
      </w:r>
      <w:r>
        <w:t xml:space="preserve"> </w:t>
      </w:r>
      <w:r>
        <w:rPr>
          <w:rFonts w:hint="cs"/>
          <w:rtl/>
        </w:rPr>
        <w:t>عند اتخاذ قرارات إستراتيجية مهمة تحت وطأة الضغط أو العاطفة أو الإجهاد، حاول التحقق من صحة اختياراتك مع طرف ثالث محايد أو من خلال اعتماد أطر معتمدة لضمان التفكير السليم واتخاذ القرارات الجيدة.</w:t>
      </w:r>
    </w:p>
    <w:p w14:paraId="7040A0AA" w14:textId="41442B3B" w:rsidR="0032311C" w:rsidRPr="00EB3A1C" w:rsidRDefault="0032311C" w:rsidP="00BD5D8A">
      <w:pPr>
        <w:pStyle w:val="Title1"/>
        <w:bidi/>
        <w:rPr>
          <w:rtl/>
        </w:rPr>
      </w:pPr>
      <w:r>
        <w:rPr>
          <w:rFonts w:hint="cs"/>
          <w:rtl/>
        </w:rPr>
        <w:t>البدائل الخيالية لاتفاقات التفاوض (</w:t>
      </w:r>
      <w:r>
        <w:t>FATNAs</w:t>
      </w:r>
      <w:r>
        <w:rPr>
          <w:rFonts w:hint="cs"/>
          <w:rtl/>
        </w:rPr>
        <w:t>)</w:t>
      </w:r>
    </w:p>
    <w:p w14:paraId="5EC7F9DF" w14:textId="526E369B" w:rsidR="008967C0" w:rsidRPr="00BD5D8A" w:rsidRDefault="0032311C" w:rsidP="00BD5D8A">
      <w:pPr>
        <w:pStyle w:val="StandardParagraph"/>
        <w:bidi/>
        <w:rPr>
          <w:rtl/>
        </w:rPr>
      </w:pPr>
      <w:r>
        <w:rPr>
          <w:rFonts w:hint="cs"/>
          <w:rtl/>
        </w:rPr>
        <w:t>إن البدائل الخيالية لاتفاقات التفاوض (</w:t>
      </w:r>
      <w:r>
        <w:t>FATNAs</w:t>
      </w:r>
      <w:r>
        <w:rPr>
          <w:rFonts w:hint="cs"/>
          <w:rtl/>
        </w:rPr>
        <w:t xml:space="preserve">) هي النقطة التعليمية الرئيسية التي يجب مشاركتها بعد الوصول إلى النقطة في القصة حيث يجد أندريس نفسه في محطة الوقود و"الثور" يصرخ في وجهه (تقريبًا في نهاية الجزء الثاني، قبل الأسئلة الخاصة بمناقشة الفصل).  في افتتاح مصنع كونكرير الثاني في منطقة نائية، وعلى أمل عدم مشاركة النقابة، اعتمد أندريس على </w:t>
      </w:r>
      <w:r>
        <w:t>FATNA</w:t>
      </w:r>
      <w:r>
        <w:rPr>
          <w:rFonts w:hint="cs"/>
          <w:rtl/>
        </w:rPr>
        <w:t xml:space="preserve"> أو البديل الخيالي لاتفاقية التفاوض، بدلًا من </w:t>
      </w:r>
      <w:r>
        <w:t>BATNA</w:t>
      </w:r>
      <w:r>
        <w:rPr>
          <w:rFonts w:hint="cs"/>
          <w:rtl/>
        </w:rPr>
        <w:t xml:space="preserve"> أو أفضل بديل لاتفاقية التفاوض.</w:t>
      </w:r>
      <w:r>
        <w:t xml:space="preserve"> </w:t>
      </w:r>
      <w:r>
        <w:rPr>
          <w:rFonts w:hint="cs"/>
          <w:rtl/>
        </w:rPr>
        <w:t>في حالات أندريس، كان بديله الحقيقي هو المخاطرة التي انتهت بنقابة أكثر عدوانية وعدائية في مصنع كونكرير الثاني.</w:t>
      </w:r>
      <w:r>
        <w:t xml:space="preserve"> </w:t>
      </w:r>
    </w:p>
    <w:p w14:paraId="0479871B" w14:textId="7DE01508" w:rsidR="0032311C" w:rsidRPr="00BD5D8A" w:rsidRDefault="0032311C" w:rsidP="00BD5D8A">
      <w:pPr>
        <w:pStyle w:val="StandardParagraph"/>
        <w:bidi/>
        <w:rPr>
          <w:rtl/>
        </w:rPr>
      </w:pPr>
      <w:r>
        <w:rPr>
          <w:rFonts w:hint="cs"/>
          <w:rtl/>
        </w:rPr>
        <w:t>وبشكل عام، لا يمكن تقييم جودة الخيارات إلا في ضوء البدائل المتاحة.</w:t>
      </w:r>
      <w:r>
        <w:t xml:space="preserve"> </w:t>
      </w:r>
      <w:r>
        <w:rPr>
          <w:rFonts w:hint="cs"/>
          <w:rtl/>
        </w:rPr>
        <w:t>على سبيل المثال، لا يكون فصل موظف ضعيف الأداء أو تجنب نقابة فاسدة منطقيًا إلا إذا كان من الممكن استبدال هذا الخيار بشخص أفضل نسبيًا.</w:t>
      </w:r>
      <w:r>
        <w:t xml:space="preserve"> </w:t>
      </w:r>
      <w:r>
        <w:rPr>
          <w:rFonts w:hint="cs"/>
          <w:rtl/>
        </w:rPr>
        <w:t>وإذا كانت البدائل تشمل العديد من الموظفين غير المرغوب فيهم أو النقابات الأكثر تشددًا، فقد يكون الخيار الأفضل هو ترك الشخص في وظيفته أو التفاوض مع النقابة الفاسدة.</w:t>
      </w:r>
      <w:r>
        <w:t xml:space="preserve"> </w:t>
      </w:r>
    </w:p>
    <w:p w14:paraId="7E96A97B" w14:textId="535CDB79" w:rsidR="008967C0" w:rsidRPr="00BD5D8A" w:rsidRDefault="008967C0" w:rsidP="00BD5D8A">
      <w:pPr>
        <w:pStyle w:val="StandardParagraph"/>
        <w:bidi/>
        <w:rPr>
          <w:rtl/>
        </w:rPr>
      </w:pPr>
      <w:r>
        <w:rPr>
          <w:rFonts w:hint="cs"/>
          <w:b/>
          <w:bCs/>
          <w:rtl/>
        </w:rPr>
        <w:t>خلاصة القول:</w:t>
      </w:r>
      <w:r>
        <w:t xml:space="preserve"> </w:t>
      </w:r>
      <w:r>
        <w:rPr>
          <w:rFonts w:hint="cs"/>
          <w:rtl/>
        </w:rPr>
        <w:t>عند التفكير في البدائل، ينبغي للمفاوضين أن يقيِّموا بشكل واقعي ما سيحدث بالفعل إذا انسحبوا أو قرروا عدم المشاركة في المفاوضات.</w:t>
      </w:r>
      <w:r>
        <w:t xml:space="preserve"> </w:t>
      </w:r>
    </w:p>
    <w:p w14:paraId="1A27D0BE" w14:textId="6DD26026" w:rsidR="0032311C" w:rsidRPr="00F12B44" w:rsidRDefault="0032311C" w:rsidP="00BD5D8A">
      <w:pPr>
        <w:pStyle w:val="Title1"/>
        <w:bidi/>
        <w:rPr>
          <w:rtl/>
        </w:rPr>
      </w:pPr>
      <w:r>
        <w:rPr>
          <w:rFonts w:hint="cs"/>
          <w:rtl/>
        </w:rPr>
        <w:t>مشاكل الوكيل والمدير</w:t>
      </w:r>
    </w:p>
    <w:p w14:paraId="2C5C96A3" w14:textId="1893D7DC" w:rsidR="008967C0" w:rsidRPr="00BD5D8A" w:rsidRDefault="00160636" w:rsidP="00BD5D8A">
      <w:pPr>
        <w:pStyle w:val="StandardParagraph"/>
        <w:bidi/>
        <w:rPr>
          <w:rtl/>
        </w:rPr>
      </w:pPr>
      <w:r>
        <w:rPr>
          <w:rFonts w:hint="cs"/>
          <w:rtl/>
        </w:rPr>
        <w:t>كان إدراك مشكلة الوكيل والمدير المفتاح لنجاح مفاوضات أندريس هنا (يتضح هذا في نهاية القضية).</w:t>
      </w:r>
      <w:r>
        <w:t xml:space="preserve"> </w:t>
      </w:r>
      <w:r>
        <w:rPr>
          <w:rFonts w:hint="cs"/>
          <w:rtl/>
        </w:rPr>
        <w:t>فالوكيل الذي يتفاوض نيابة عن المدير غالبًا ما يكون لديه حوافز مختلفة عن الشخص أو المؤسسة التي يمثلها.</w:t>
      </w:r>
      <w:r>
        <w:t xml:space="preserve"> </w:t>
      </w:r>
      <w:r>
        <w:rPr>
          <w:rFonts w:hint="cs"/>
          <w:rtl/>
        </w:rPr>
        <w:t xml:space="preserve">ومن مصلحة "الثور" أن يحصل على اعتراف رسمي باتحاد "العمل الجماعي" وبمكانته كزعيم له، وأن ينسب لنفسه الفضل الشخصي في النتائج الجيدة ويتجنب اللوم عن النتائج السيئة، </w:t>
      </w:r>
      <w:r>
        <w:rPr>
          <w:rFonts w:hint="cs"/>
          <w:rtl/>
        </w:rPr>
        <w:lastRenderedPageBreak/>
        <w:t>وأن يقضي على المعارضة السياسية والمنافسين المحتملين داخل النقابة.</w:t>
      </w:r>
      <w:r>
        <w:t xml:space="preserve"> </w:t>
      </w:r>
      <w:r>
        <w:rPr>
          <w:rFonts w:hint="cs"/>
          <w:rtl/>
        </w:rPr>
        <w:t>ولا شيء من هذا بالضرورة يصب في المصالح الأيديولوجية لاتحاد "العمل الجماعي" الذي كان متشددًا في البداية، أو في مصلحة جميع العمال الذين يمثلهم.</w:t>
      </w:r>
      <w:r>
        <w:t xml:space="preserve"> </w:t>
      </w:r>
      <w:r>
        <w:rPr>
          <w:rFonts w:hint="cs"/>
          <w:rtl/>
        </w:rPr>
        <w:t>ونتيجة للصفقة، فقدَ اتحاد "العمل الجماعي" سمعته كنقابة خارجة عن القانون لم "تبِع" نفسها للحكومة، وتم تسريح العديد من العمال، في بعض الحالات لأسباب سياسية وليس بسبب أدائهم في العمل.</w:t>
      </w:r>
      <w:r>
        <w:t xml:space="preserve"> </w:t>
      </w:r>
      <w:r>
        <w:rPr>
          <w:rFonts w:hint="cs"/>
          <w:rtl/>
        </w:rPr>
        <w:t>ووفقًا لنظرية تبادل الأعضاء القياديين (</w:t>
      </w:r>
      <w:r>
        <w:t>LMX)</w:t>
      </w:r>
      <w:r>
        <w:rPr>
          <w:rFonts w:hint="cs"/>
          <w:rtl/>
        </w:rPr>
        <w:t>، فإن تصرفات "الثور" في هذا الصدد نموذجية للقادة، الذين يستخدمون موقعهم القوي لتوجيه الموارد التنظيمية نحو المؤيدين السياسيين وبعيدًا عن المعارضين (جراين وأول-بين، 1995؛ جراين وكانيدو، 2016).</w:t>
      </w:r>
      <w:r>
        <w:t xml:space="preserve"> </w:t>
      </w:r>
    </w:p>
    <w:p w14:paraId="2D750903" w14:textId="3705A0B6" w:rsidR="0032311C" w:rsidRPr="00BD5D8A" w:rsidRDefault="008967C0" w:rsidP="00BD5D8A">
      <w:pPr>
        <w:pStyle w:val="StandardParagraph"/>
        <w:bidi/>
        <w:rPr>
          <w:rtl/>
        </w:rPr>
      </w:pPr>
      <w:r>
        <w:rPr>
          <w:rFonts w:hint="cs"/>
          <w:b/>
          <w:bCs/>
          <w:rtl/>
        </w:rPr>
        <w:t>خلاصة القول:</w:t>
      </w:r>
      <w:r>
        <w:t xml:space="preserve"> </w:t>
      </w:r>
      <w:r>
        <w:rPr>
          <w:rFonts w:hint="cs"/>
          <w:rtl/>
        </w:rPr>
        <w:t>إن فهم هياكل الحوافز الفردية لجميع الأطراف المعنية يمكن أن يكون مفتاحًا للتوصل إلى اتفاق ناجح.</w:t>
      </w:r>
      <w:r>
        <w:t xml:space="preserve"> </w:t>
      </w:r>
    </w:p>
    <w:p w14:paraId="7858DFB9" w14:textId="6AB92265" w:rsidR="0032311C" w:rsidRPr="00F12B44" w:rsidRDefault="0032311C" w:rsidP="00BD5D8A">
      <w:pPr>
        <w:pStyle w:val="Title1"/>
        <w:bidi/>
        <w:rPr>
          <w:rtl/>
        </w:rPr>
      </w:pPr>
      <w:r>
        <w:rPr>
          <w:rFonts w:hint="cs"/>
          <w:rtl/>
        </w:rPr>
        <w:t>أخلاقيات التفاوض</w:t>
      </w:r>
    </w:p>
    <w:p w14:paraId="415EC748" w14:textId="44742EC4" w:rsidR="003476FC" w:rsidRPr="00BD5D8A" w:rsidRDefault="00F71859" w:rsidP="00BD5D8A">
      <w:pPr>
        <w:pStyle w:val="StandardParagraph"/>
        <w:bidi/>
        <w:rPr>
          <w:rtl/>
        </w:rPr>
      </w:pPr>
      <w:r>
        <w:rPr>
          <w:rFonts w:hint="cs"/>
          <w:rtl/>
        </w:rPr>
        <w:t>وتثير هذه القضية أيضًا قضايا صعبة تتعلق بأخلاقيات التفاوض، وهو الموضوع الذي يمكن طرحه خلال الجزء الخامس (العرض) أو السادس (النهاية) ومناقشته في ضوء مشاكل الوكالة.</w:t>
      </w:r>
      <w:r>
        <w:t xml:space="preserve"> </w:t>
      </w:r>
      <w:r>
        <w:rPr>
          <w:rFonts w:hint="cs"/>
          <w:rtl/>
        </w:rPr>
        <w:t>وكثيرًا ما تنشأ المعضلات الأخلاقية عندما تكون لدى الأطراف حوافز غير متوافقة وصراعات مصالح.</w:t>
      </w:r>
      <w:r>
        <w:t xml:space="preserve"> </w:t>
      </w:r>
      <w:r>
        <w:rPr>
          <w:rFonts w:hint="cs"/>
          <w:rtl/>
        </w:rPr>
        <w:t>وقد حل أندريس الإضراب والاضطرابات العمالية بالتواطؤ مع "الثور" لإرضاء مصالحهما على حساب مجموعة فرعية من العمال (المعارضون السياسيون لـ"الثور" داخل اتحاد "العمل الجماعي").</w:t>
      </w:r>
      <w:r>
        <w:t xml:space="preserve"> </w:t>
      </w:r>
      <w:r>
        <w:rPr>
          <w:rFonts w:hint="cs"/>
          <w:rtl/>
        </w:rPr>
        <w:t>وكان البديل الذي طرحه أندريس هو الصدام المطول مع نقابة متشددة وعدوانية بشكل متزايد، وهو ما كان من شأنه أن يؤدي بسهولة إلى إغلاق مصنع كونكرير الثاني، وفقدان جميع العمال لوظائفهم، وإحباط أفراد الأسرة الذين وثقوا به في تحمل مسؤولية التعامل مع علاقات العمل.</w:t>
      </w:r>
      <w:r>
        <w:t xml:space="preserve"> </w:t>
      </w:r>
      <w:r>
        <w:rPr>
          <w:rFonts w:hint="cs"/>
          <w:rtl/>
        </w:rPr>
        <w:t>فهل يبرر هذا تصرفاته؟</w:t>
      </w:r>
      <w:r>
        <w:t xml:space="preserve"> </w:t>
      </w:r>
    </w:p>
    <w:p w14:paraId="08107B55" w14:textId="764C33C3" w:rsidR="000B734B" w:rsidRPr="00BD5D8A" w:rsidRDefault="00F75071" w:rsidP="00BD5D8A">
      <w:pPr>
        <w:pStyle w:val="StandardParagraph"/>
        <w:bidi/>
        <w:rPr>
          <w:rtl/>
        </w:rPr>
      </w:pPr>
      <w:r>
        <w:rPr>
          <w:rFonts w:hint="cs"/>
          <w:rtl/>
        </w:rPr>
        <w:t>هناك ثلاث وجهات نظر فلسفية حول الأخلاق تنطبق على أي قرار أو عمل.</w:t>
      </w:r>
    </w:p>
    <w:p w14:paraId="7C4D84F2" w14:textId="77777777" w:rsidR="007E1454" w:rsidRPr="00ED6EDE" w:rsidRDefault="000B734B" w:rsidP="00ED6EDE">
      <w:pPr>
        <w:pStyle w:val="Indent1"/>
        <w:numPr>
          <w:ilvl w:val="0"/>
          <w:numId w:val="21"/>
        </w:numPr>
        <w:bidi/>
        <w:ind w:left="426"/>
        <w:rPr>
          <w:rtl/>
        </w:rPr>
      </w:pPr>
      <w:r>
        <w:rPr>
          <w:rFonts w:hint="cs"/>
          <w:rtl/>
        </w:rPr>
        <w:t>النفعية.</w:t>
      </w:r>
      <w:r>
        <w:t xml:space="preserve"> </w:t>
      </w:r>
      <w:r>
        <w:rPr>
          <w:rFonts w:hint="cs"/>
          <w:rtl/>
        </w:rPr>
        <w:t>من هذا المنظور الفلسفي، المرتبط بجون ستيوارت ميل وآخرين (ميل، 1863/1998؛ سمارت وويليامز، 1973)، فإن الأفعال الأخلاقية هي تلك التي تنتج أفضل النتائج (تعظيم المنفعة).</w:t>
      </w:r>
      <w:r>
        <w:t xml:space="preserve"> </w:t>
      </w:r>
      <w:r>
        <w:rPr>
          <w:rFonts w:hint="cs"/>
          <w:rtl/>
        </w:rPr>
        <w:t>وينعكس هذا المنظور في القول المأثور "الغاية تبرر الوسيلة".  هل أدت تصرفات أندريس إلى تعظيم المنفعة الإجمالية؟</w:t>
      </w:r>
      <w:r>
        <w:t xml:space="preserve"> </w:t>
      </w:r>
      <w:r>
        <w:rPr>
          <w:rFonts w:hint="cs"/>
          <w:rtl/>
        </w:rPr>
        <w:t>هل الموافقة على السماح للثور باختيار من سيتم تسريحه تعتبر نتيجة أفضل من فقدان جميع العمال لوظائفهم؟</w:t>
      </w:r>
      <w:r>
        <w:t xml:space="preserve"> </w:t>
      </w:r>
    </w:p>
    <w:p w14:paraId="281646FF" w14:textId="4BBB6F1C" w:rsidR="000B734B" w:rsidRPr="00ED6EDE" w:rsidRDefault="000B734B" w:rsidP="00ED6EDE">
      <w:pPr>
        <w:pStyle w:val="Indent1"/>
        <w:numPr>
          <w:ilvl w:val="0"/>
          <w:numId w:val="21"/>
        </w:numPr>
        <w:bidi/>
        <w:ind w:left="426"/>
        <w:rPr>
          <w:rtl/>
        </w:rPr>
      </w:pPr>
      <w:r>
        <w:rPr>
          <w:rFonts w:hint="cs"/>
          <w:rtl/>
        </w:rPr>
        <w:t>الأخلاقيات.</w:t>
      </w:r>
      <w:r>
        <w:t xml:space="preserve"> </w:t>
      </w:r>
      <w:r>
        <w:rPr>
          <w:rFonts w:hint="cs"/>
          <w:rtl/>
        </w:rPr>
        <w:t>هذا المنظور، المرتبط بإيمانويل كانط (1796/1996)، يزعم أن الأخلاقيات هي مسألة مبدأ.</w:t>
      </w:r>
      <w:r>
        <w:t xml:space="preserve"> </w:t>
      </w:r>
      <w:r>
        <w:rPr>
          <w:rFonts w:hint="cs"/>
          <w:rtl/>
        </w:rPr>
        <w:t>من حيث المبدأ، هل يجوز للمدير أن يعقد اتفاقية جانبية غير رسمية مع مسؤول نقابي على أساس المصلحة الشخصية للمسؤول لا مصلحة ناخبيه؟</w:t>
      </w:r>
      <w:r>
        <w:t xml:space="preserve"> </w:t>
      </w:r>
    </w:p>
    <w:p w14:paraId="2C4BCF1B" w14:textId="6000F172" w:rsidR="00B64670" w:rsidRPr="00ED6EDE" w:rsidRDefault="000B734B" w:rsidP="00ED6EDE">
      <w:pPr>
        <w:pStyle w:val="Indent1"/>
        <w:numPr>
          <w:ilvl w:val="0"/>
          <w:numId w:val="21"/>
        </w:numPr>
        <w:bidi/>
        <w:ind w:left="426"/>
        <w:rPr>
          <w:rtl/>
        </w:rPr>
      </w:pPr>
      <w:r>
        <w:rPr>
          <w:rFonts w:hint="cs"/>
          <w:rtl/>
        </w:rPr>
        <w:t>نظرية الفضيلة.</w:t>
      </w:r>
      <w:r>
        <w:t xml:space="preserve"> </w:t>
      </w:r>
      <w:r>
        <w:rPr>
          <w:rFonts w:hint="cs"/>
          <w:rtl/>
        </w:rPr>
        <w:t>هذا المنظور، المرتبط بأرسطو وهيوم (أرسطو، القرن الرابع قبل الميلاد/1998؛ هيوم، 1739/1888)، يتساءل عما سيفعله الشخص الصالح. هل يتصرف الشخص ذو الشخصية الأخلاقية الجيدة كما فعل أندريس؟</w:t>
      </w:r>
      <w:r>
        <w:t xml:space="preserve"> </w:t>
      </w:r>
      <w:r>
        <w:rPr>
          <w:rFonts w:hint="cs"/>
          <w:rtl/>
        </w:rPr>
        <w:t>هناك فكرة ذات صلة وهي اختبار المرآة: إذا فعلت هذا، فكيف ستشعر عندما تنظر في المرآة؟</w:t>
      </w:r>
      <w:r>
        <w:t xml:space="preserve"> </w:t>
      </w:r>
    </w:p>
    <w:p w14:paraId="40EBE7D6" w14:textId="77777777" w:rsidR="00331009" w:rsidRPr="00ED6EDE" w:rsidRDefault="00ED0BAC" w:rsidP="00ED6EDE">
      <w:pPr>
        <w:pStyle w:val="StandardParagraph"/>
        <w:bidi/>
        <w:rPr>
          <w:rtl/>
        </w:rPr>
      </w:pPr>
      <w:r>
        <w:rPr>
          <w:rFonts w:hint="cs"/>
          <w:rtl/>
        </w:rPr>
        <w:t>ومن الجدير بالذكر أن الأبحاث تُظهر أن الأفراد ذوي المكانة العالية يميلون بشكل خاص إلى تبني وجهة نظر نفعية بشأن الأخلاق (كوتي، وبيف، وويلر، 2013)، ويرجع ذلك جزئيًا إلى أن مسؤوليتهم كقادة هي تعظيم القيمة لأعداد كبيرة من أصحاب المصلحة (مولينسكي ومارجوليس، 2005؛ أولمان، وتشو، وتانينباوم، 2013).</w:t>
      </w:r>
      <w:r>
        <w:t xml:space="preserve"> </w:t>
      </w:r>
      <w:r>
        <w:rPr>
          <w:rFonts w:hint="cs"/>
          <w:rtl/>
        </w:rPr>
        <w:t>بالنسبة للطلاب الذين يتجهون نحو مناصب إدارية أو تنفيذية، قد ينطوي مستقبلهم ليس فقط على معضلات أخلاقية صعبة مثل تلك التي واجهها أندريس، ولكن أيضًا على مَيل متزايد للتركيز على تحقيق نتائج جيدة بدلًا من المسائل المتعلقة بالمبادئ.</w:t>
      </w:r>
    </w:p>
    <w:p w14:paraId="7A82C052" w14:textId="6B3635EB" w:rsidR="00B64670" w:rsidRPr="00ED6EDE" w:rsidRDefault="008967C0" w:rsidP="00ED6EDE">
      <w:pPr>
        <w:pStyle w:val="StandardParagraph"/>
        <w:bidi/>
        <w:rPr>
          <w:rtl/>
        </w:rPr>
      </w:pPr>
      <w:r>
        <w:rPr>
          <w:rFonts w:hint="cs"/>
          <w:b/>
          <w:bCs/>
          <w:rtl/>
        </w:rPr>
        <w:t>خلاصة القول:</w:t>
      </w:r>
      <w:r>
        <w:t xml:space="preserve"> </w:t>
      </w:r>
      <w:r>
        <w:rPr>
          <w:rFonts w:hint="cs"/>
          <w:rtl/>
        </w:rPr>
        <w:t>إن هناك ثلاث وجهات نظر فلسفية للأخلاق، وهي النفعية (التي تركز على النتائج)، والأخلاقيات (التي تركز على المبادئ)، ونظرية الفضيلة (التي تركز على الشخصية)، وهي تنطبق على أي موقف.</w:t>
      </w:r>
      <w:r>
        <w:t xml:space="preserve"> </w:t>
      </w:r>
      <w:r>
        <w:rPr>
          <w:rFonts w:hint="cs"/>
          <w:rtl/>
        </w:rPr>
        <w:t xml:space="preserve">وكل هذه التصورات تتمتع بالشرعية، وكثيرًا ما تقدم إجابات مختلفة حول ما ينبغي القيام به من أخلاقيات، ولهذا السبب فإن القرارات الأخلاقية قد تكون صعبة للغاية.   </w:t>
      </w:r>
    </w:p>
    <w:p w14:paraId="693F8D1C" w14:textId="46154C34" w:rsidR="007E1454" w:rsidRDefault="007E1454" w:rsidP="00ED6EDE">
      <w:pPr>
        <w:pStyle w:val="Title1"/>
        <w:bidi/>
        <w:rPr>
          <w:rtl/>
        </w:rPr>
      </w:pPr>
      <w:r>
        <w:rPr>
          <w:rFonts w:hint="cs"/>
          <w:rtl/>
        </w:rPr>
        <w:t>كيفية استخدام هذه الحالة؟</w:t>
      </w:r>
    </w:p>
    <w:p w14:paraId="27F7C99E" w14:textId="2723C234" w:rsidR="00E155D8" w:rsidRPr="00ED6EDE" w:rsidRDefault="00E155D8" w:rsidP="00ED6EDE">
      <w:pPr>
        <w:pStyle w:val="StandardParagraph"/>
        <w:bidi/>
        <w:rPr>
          <w:rtl/>
        </w:rPr>
      </w:pPr>
      <w:r>
        <w:rPr>
          <w:rFonts w:hint="cs"/>
          <w:rtl/>
        </w:rPr>
        <w:t>يمكن تدريس هذه الحالة بعدة طرق:</w:t>
      </w:r>
    </w:p>
    <w:p w14:paraId="67FE7036" w14:textId="631E9941" w:rsidR="00E155D8" w:rsidRPr="00ED6EDE" w:rsidRDefault="00E155D8" w:rsidP="00ED6EDE">
      <w:pPr>
        <w:pStyle w:val="Indent1"/>
        <w:numPr>
          <w:ilvl w:val="0"/>
          <w:numId w:val="23"/>
        </w:numPr>
        <w:bidi/>
        <w:ind w:left="426"/>
        <w:rPr>
          <w:rtl/>
        </w:rPr>
      </w:pPr>
      <w:r>
        <w:rPr>
          <w:rFonts w:hint="cs"/>
          <w:b/>
          <w:bCs/>
          <w:rtl/>
        </w:rPr>
        <w:t>الأستاذ هو الطرف المنسق:</w:t>
      </w:r>
      <w:r>
        <w:t xml:space="preserve"> </w:t>
      </w:r>
      <w:r>
        <w:rPr>
          <w:rFonts w:hint="cs"/>
          <w:rtl/>
        </w:rPr>
        <w:t>يقوم الأستاذ بتوزيع الحالة، وتسهيل الأسئلة والمناظرات، ثم يقدم ما حدث بعد ذلك في الحالة ونقاط التدريس.</w:t>
      </w:r>
      <w:r>
        <w:t xml:space="preserve"> </w:t>
      </w:r>
    </w:p>
    <w:p w14:paraId="21DDFEAA" w14:textId="194D9196" w:rsidR="00E155D8" w:rsidRPr="00ED6EDE" w:rsidRDefault="00E155D8" w:rsidP="00ED6EDE">
      <w:pPr>
        <w:pStyle w:val="Indent1"/>
        <w:numPr>
          <w:ilvl w:val="0"/>
          <w:numId w:val="23"/>
        </w:numPr>
        <w:bidi/>
        <w:ind w:left="426"/>
        <w:rPr>
          <w:rtl/>
        </w:rPr>
      </w:pPr>
      <w:r>
        <w:rPr>
          <w:rFonts w:hint="cs"/>
          <w:b/>
          <w:bCs/>
          <w:rtl/>
        </w:rPr>
        <w:lastRenderedPageBreak/>
        <w:t>الطلاب كفرق مختلفة للمناظرة:</w:t>
      </w:r>
      <w:r>
        <w:t xml:space="preserve"> </w:t>
      </w:r>
      <w:r>
        <w:rPr>
          <w:rFonts w:hint="cs"/>
          <w:rtl/>
        </w:rPr>
        <w:t>يقوم الأستاذ بتوزيع الحالة، ويشكل فرقًا من الطلاب ثم يطلب من كل فريق أن يناقش سؤالًا مختلفًا، مع الاستفادة من مزايا (المخاطر / المكافآت) لكل إجابة لتسليط الضوء على نقاط التعلم.</w:t>
      </w:r>
    </w:p>
    <w:p w14:paraId="728FAA98" w14:textId="374BE048" w:rsidR="00A952B9" w:rsidRDefault="00A952B9" w:rsidP="00ED6EDE">
      <w:pPr>
        <w:pStyle w:val="StandardParagraph"/>
        <w:bidi/>
        <w:rPr>
          <w:rFonts w:ascii="Times New Roman" w:hAnsi="Times New Roman"/>
          <w:b/>
          <w:kern w:val="1"/>
          <w:rtl/>
        </w:rPr>
      </w:pPr>
      <w:r>
        <w:rPr>
          <w:rFonts w:hint="cs"/>
          <w:u w:val="single"/>
          <w:rtl/>
        </w:rPr>
        <w:t>ملاحظة هامة:</w:t>
      </w:r>
      <w:r>
        <w:t xml:space="preserve"> </w:t>
      </w:r>
      <w:r>
        <w:rPr>
          <w:rFonts w:hint="cs"/>
          <w:rtl/>
        </w:rPr>
        <w:t>اطبع هذه الوثيقة على وجه واحد إذا تم توزيعها على الطلاب، بحيث عندما يُطلب منهم الانتقال إلى الصفحة التالية، فإنهم يرون الصفحة التالية (على النحو المنشود)، بدلًا من صفحتين لاحقًا في الحالة.</w:t>
      </w:r>
      <w:r>
        <w:t xml:space="preserve"> </w:t>
      </w:r>
      <w:r>
        <w:rPr>
          <w:rFonts w:hint="cs"/>
          <w:rtl/>
        </w:rPr>
        <w:br w:type="page"/>
      </w:r>
    </w:p>
    <w:p w14:paraId="40137A19" w14:textId="0C068E59" w:rsidR="00B97C27" w:rsidRPr="00F12B44" w:rsidRDefault="00B97C27" w:rsidP="004512B3">
      <w:pPr>
        <w:pStyle w:val="Title1"/>
        <w:bidi/>
        <w:rPr>
          <w:rFonts w:ascii="Times New Roman" w:hAnsi="Times New Roman" w:cs="Times New Roman"/>
          <w:kern w:val="1"/>
          <w:rtl/>
        </w:rPr>
      </w:pPr>
      <w:r>
        <w:rPr>
          <w:rFonts w:hint="cs"/>
          <w:rtl/>
        </w:rPr>
        <w:lastRenderedPageBreak/>
        <w:t>المراجع</w:t>
      </w:r>
    </w:p>
    <w:p w14:paraId="11B79502" w14:textId="7435811C" w:rsidR="00B97C27" w:rsidRPr="00ED6EDE" w:rsidRDefault="00B97C27" w:rsidP="00197D66">
      <w:pPr>
        <w:pStyle w:val="StandardParagraph"/>
        <w:bidi/>
        <w:rPr>
          <w:rtl/>
        </w:rPr>
      </w:pPr>
      <w:r>
        <w:t xml:space="preserve">Aristotle (4th Century, B.C.E./1998). </w:t>
      </w:r>
      <w:r>
        <w:rPr>
          <w:i/>
          <w:iCs/>
        </w:rPr>
        <w:t>The Nicomachean ethics</w:t>
      </w:r>
      <w:r>
        <w:t>. Oxford: Oxford University Press.</w:t>
      </w:r>
    </w:p>
    <w:p w14:paraId="0E85DA1A" w14:textId="1D0C195B" w:rsidR="00D475FC" w:rsidRPr="00ED6EDE" w:rsidRDefault="00D475FC" w:rsidP="00197D66">
      <w:pPr>
        <w:pStyle w:val="StandardParagraph"/>
        <w:bidi/>
        <w:rPr>
          <w:bCs/>
          <w:color w:val="000000" w:themeColor="text1"/>
          <w:kern w:val="36"/>
          <w:rtl/>
        </w:rPr>
      </w:pPr>
      <w:hyperlink r:id="rId15" w:history="1">
        <w:r>
          <w:rPr>
            <w:color w:val="000000" w:themeColor="text1"/>
          </w:rPr>
          <w:t>Côté, S</w:t>
        </w:r>
      </w:hyperlink>
      <w:r w:rsidR="00C060AB">
        <w:rPr>
          <w:color w:val="000000" w:themeColor="text1"/>
        </w:rPr>
        <w:t xml:space="preserve">., </w:t>
      </w:r>
      <w:hyperlink r:id="rId16" w:history="1">
        <w:r>
          <w:rPr>
            <w:color w:val="000000" w:themeColor="text1"/>
          </w:rPr>
          <w:t>Piff, P.K</w:t>
        </w:r>
      </w:hyperlink>
      <w:r w:rsidR="00C060AB">
        <w:rPr>
          <w:color w:val="000000" w:themeColor="text1"/>
        </w:rPr>
        <w:t xml:space="preserve">., &amp; </w:t>
      </w:r>
      <w:hyperlink r:id="rId17" w:history="1">
        <w:r>
          <w:rPr>
            <w:color w:val="000000" w:themeColor="text1"/>
          </w:rPr>
          <w:t>Willer, R</w:t>
        </w:r>
      </w:hyperlink>
      <w:r w:rsidR="00C060AB">
        <w:rPr>
          <w:color w:val="000000" w:themeColor="text1"/>
        </w:rPr>
        <w:t>. (</w:t>
      </w:r>
      <w:r w:rsidR="00C060AB">
        <w:rPr>
          <w:rFonts w:hint="cs"/>
          <w:color w:val="000000" w:themeColor="text1"/>
          <w:rtl/>
        </w:rPr>
        <w:t>2013).</w:t>
      </w:r>
      <w:r w:rsidR="00C060AB">
        <w:rPr>
          <w:color w:val="000000" w:themeColor="text1"/>
        </w:rPr>
        <w:t xml:space="preserve"> For whom do the ends justify the means? Social class and utilitarian moral judgment. </w:t>
      </w:r>
      <w:r w:rsidR="00C060AB">
        <w:rPr>
          <w:i/>
          <w:iCs/>
          <w:color w:val="000000" w:themeColor="text1"/>
        </w:rPr>
        <w:t>Journal of Personality and Social Psychology</w:t>
      </w:r>
      <w:r w:rsidR="00C060AB">
        <w:rPr>
          <w:color w:val="000000" w:themeColor="text1"/>
        </w:rPr>
        <w:t xml:space="preserve">, </w:t>
      </w:r>
      <w:r w:rsidR="00C060AB">
        <w:rPr>
          <w:rFonts w:hint="cs"/>
          <w:i/>
          <w:iCs/>
          <w:color w:val="000000" w:themeColor="text1"/>
          <w:rtl/>
        </w:rPr>
        <w:t>104</w:t>
      </w:r>
      <w:r w:rsidR="00C060AB">
        <w:rPr>
          <w:rFonts w:hint="cs"/>
          <w:color w:val="000000" w:themeColor="text1"/>
          <w:rtl/>
        </w:rPr>
        <w:t xml:space="preserve">(3), </w:t>
      </w:r>
      <w:r w:rsidR="00C060AB">
        <w:rPr>
          <w:rFonts w:hint="cs"/>
          <w:rtl/>
        </w:rPr>
        <w:t>490-503.</w:t>
      </w:r>
      <w:r w:rsidR="00C060AB">
        <w:t xml:space="preserve"> </w:t>
      </w:r>
    </w:p>
    <w:p w14:paraId="10863E6D" w14:textId="731F910A" w:rsidR="00931ADE" w:rsidRPr="00197D66" w:rsidRDefault="00931ADE" w:rsidP="00197D66">
      <w:pPr>
        <w:pStyle w:val="StandardParagraph"/>
        <w:bidi/>
        <w:rPr>
          <w:iCs/>
          <w:color w:val="222222"/>
          <w:rtl/>
        </w:rPr>
      </w:pPr>
      <w:r>
        <w:rPr>
          <w:color w:val="222222"/>
        </w:rPr>
        <w:t xml:space="preserve">Danziger, S., Levav, J, &amp; Avnaim-Pesso, L. (2011). Extraneous factors in judicial decisions. </w:t>
      </w:r>
      <w:r>
        <w:rPr>
          <w:i/>
          <w:iCs/>
          <w:color w:val="222222"/>
        </w:rPr>
        <w:t>Proceedings of the National Academy of Sciences, 108</w:t>
      </w:r>
      <w:r>
        <w:rPr>
          <w:color w:val="222222"/>
        </w:rPr>
        <w:t xml:space="preserve">, </w:t>
      </w:r>
      <w:r>
        <w:rPr>
          <w:rFonts w:hint="cs"/>
          <w:color w:val="222222"/>
          <w:rtl/>
        </w:rPr>
        <w:t>6889–6892.</w:t>
      </w:r>
    </w:p>
    <w:p w14:paraId="038458BD" w14:textId="15081BCF" w:rsidR="00B97C27" w:rsidRPr="00ED6EDE" w:rsidRDefault="00B97C27" w:rsidP="00197D66">
      <w:pPr>
        <w:pStyle w:val="StandardParagraph"/>
        <w:bidi/>
        <w:rPr>
          <w:rStyle w:val="reference-text"/>
          <w:rtl/>
        </w:rPr>
      </w:pPr>
      <w:r>
        <w:rPr>
          <w:rStyle w:val="reference-text"/>
        </w:rPr>
        <w:t xml:space="preserve">Graen, G. B., &amp; Uhl-Bien, M. (1995). The relationship-based approach to leadership: Development of LMX theory of leadership over 25 years: Applying a multi-level, multi-domain perspective. </w:t>
      </w:r>
      <w:r>
        <w:rPr>
          <w:rStyle w:val="reference-text"/>
          <w:i/>
          <w:iCs/>
        </w:rPr>
        <w:t>Leadership Quarterly,</w:t>
      </w:r>
      <w:r>
        <w:rPr>
          <w:rStyle w:val="reference-text"/>
        </w:rPr>
        <w:t xml:space="preserve"> </w:t>
      </w:r>
      <w:r>
        <w:rPr>
          <w:rStyle w:val="reference-text"/>
          <w:rFonts w:hint="cs"/>
          <w:i/>
          <w:iCs/>
          <w:rtl/>
        </w:rPr>
        <w:t>6</w:t>
      </w:r>
      <w:r>
        <w:rPr>
          <w:rStyle w:val="reference-text"/>
          <w:rFonts w:hint="cs"/>
          <w:rtl/>
        </w:rPr>
        <w:t>(2), 219–247.</w:t>
      </w:r>
      <w:r>
        <w:rPr>
          <w:rStyle w:val="reference-text"/>
        </w:rPr>
        <w:t xml:space="preserve"> </w:t>
      </w:r>
    </w:p>
    <w:p w14:paraId="58D596D4" w14:textId="77777777" w:rsidR="00197D66" w:rsidRDefault="00197D66" w:rsidP="00197D66">
      <w:pPr>
        <w:pStyle w:val="StandardParagraph"/>
        <w:bidi/>
        <w:rPr>
          <w:rtl/>
        </w:rPr>
      </w:pPr>
      <w:r>
        <w:t>Falcão, H. (2012). </w:t>
      </w:r>
      <w:r>
        <w:rPr>
          <w:i/>
          <w:iCs/>
        </w:rPr>
        <w:t>Value negotiation: How to finally get the win-win right</w:t>
      </w:r>
      <w:r>
        <w:t>. FT Press.</w:t>
      </w:r>
    </w:p>
    <w:p w14:paraId="319B80EB" w14:textId="7706BEE0" w:rsidR="00B97C27" w:rsidRPr="00ED6EDE" w:rsidRDefault="00B97C27" w:rsidP="00197D66">
      <w:pPr>
        <w:pStyle w:val="StandardParagraph"/>
        <w:bidi/>
        <w:rPr>
          <w:rStyle w:val="reference-text"/>
          <w:rtl/>
        </w:rPr>
      </w:pPr>
      <w:r>
        <w:rPr>
          <w:rStyle w:val="reference-text"/>
        </w:rPr>
        <w:t xml:space="preserve">Graen, G. B., &amp; Canedo, J. (2016). </w:t>
      </w:r>
      <w:r>
        <w:rPr>
          <w:rStyle w:val="reference-text"/>
          <w:i/>
          <w:iCs/>
        </w:rPr>
        <w:t>The new workplace leadership development.</w:t>
      </w:r>
      <w:r>
        <w:rPr>
          <w:rStyle w:val="reference-text"/>
        </w:rPr>
        <w:t xml:space="preserve"> Oxford Bibliography on Management. Oxford University Press, N.Y., New York.</w:t>
      </w:r>
    </w:p>
    <w:p w14:paraId="20B114A1" w14:textId="43A71332" w:rsidR="00931ADE" w:rsidRPr="00ED6EDE" w:rsidRDefault="00931ADE" w:rsidP="00197D66">
      <w:pPr>
        <w:pStyle w:val="StandardParagraph"/>
        <w:bidi/>
        <w:rPr>
          <w:rStyle w:val="HTMLCite"/>
          <w:rtl/>
        </w:rPr>
      </w:pPr>
      <w:r>
        <w:rPr>
          <w:rStyle w:val="HTMLCite"/>
          <w:i w:val="0"/>
          <w:iCs w:val="0"/>
        </w:rPr>
        <w:t xml:space="preserve">Hoffrage, U. (2004). Overconfidence. In R. Pohl, (Ed.) </w:t>
      </w:r>
      <w:r>
        <w:rPr>
          <w:rStyle w:val="HTMLCite"/>
        </w:rPr>
        <w:t>Cognitive illusions: a handbook on fallacies and biases in thinking, judgement and memory</w:t>
      </w:r>
      <w:r>
        <w:rPr>
          <w:rStyle w:val="HTMLCite"/>
          <w:i w:val="0"/>
          <w:iCs w:val="0"/>
        </w:rPr>
        <w:t>. Psychology Press.</w:t>
      </w:r>
    </w:p>
    <w:p w14:paraId="71ACB4AE" w14:textId="77777777" w:rsidR="00B97C27" w:rsidRPr="00ED6EDE" w:rsidRDefault="00B97C27" w:rsidP="004512B3">
      <w:pPr>
        <w:pStyle w:val="StandardParagraph"/>
        <w:bidi/>
        <w:rPr>
          <w:rtl/>
        </w:rPr>
      </w:pPr>
      <w:r>
        <w:t xml:space="preserve">Hume, D. (1739/1888). </w:t>
      </w:r>
      <w:r>
        <w:rPr>
          <w:i/>
          <w:iCs/>
        </w:rPr>
        <w:t>A treatise of human nature.</w:t>
      </w:r>
      <w:r>
        <w:t xml:space="preserve"> Oxford: Oxford University Press.</w:t>
      </w:r>
    </w:p>
    <w:p w14:paraId="76EF894E" w14:textId="7B984119" w:rsidR="00B97C27" w:rsidRPr="00ED6EDE" w:rsidRDefault="00B97C27" w:rsidP="00197D66">
      <w:pPr>
        <w:pStyle w:val="StandardParagraph"/>
        <w:bidi/>
        <w:rPr>
          <w:rFonts w:eastAsiaTheme="minorEastAsia"/>
          <w:rtl/>
        </w:rPr>
      </w:pPr>
      <w:r>
        <w:t xml:space="preserve">Kant, I. (1796/2002). </w:t>
      </w:r>
      <w:r>
        <w:rPr>
          <w:i/>
          <w:iCs/>
        </w:rPr>
        <w:t>Groundwork for the metaphysics of morals</w:t>
      </w:r>
      <w:r>
        <w:t>. New York: Oxford University Press.</w:t>
      </w:r>
    </w:p>
    <w:p w14:paraId="04E7E2FC" w14:textId="1B06576B" w:rsidR="00931ADE" w:rsidRPr="00ED6EDE" w:rsidRDefault="00931ADE" w:rsidP="00197D66">
      <w:pPr>
        <w:pStyle w:val="StandardParagraph"/>
        <w:bidi/>
        <w:rPr>
          <w:rStyle w:val="HTMLCite"/>
          <w:rtl/>
        </w:rPr>
      </w:pPr>
      <w:r>
        <w:t xml:space="preserve">Kruglanski, A. W., &amp; Webster, D. M. (1996). Motivated closing of the mind: "Seizing" and "freezing". </w:t>
      </w:r>
      <w:r>
        <w:rPr>
          <w:i/>
          <w:iCs/>
        </w:rPr>
        <w:t>Psychological Review, 103</w:t>
      </w:r>
      <w:r>
        <w:t xml:space="preserve">, </w:t>
      </w:r>
      <w:r>
        <w:rPr>
          <w:rFonts w:hint="cs"/>
          <w:rtl/>
        </w:rPr>
        <w:t>263-283.</w:t>
      </w:r>
    </w:p>
    <w:p w14:paraId="57949C23" w14:textId="77777777" w:rsidR="00931ADE" w:rsidRPr="00ED6EDE" w:rsidRDefault="00931ADE" w:rsidP="004512B3">
      <w:pPr>
        <w:pStyle w:val="StandardParagraph"/>
        <w:bidi/>
        <w:rPr>
          <w:rStyle w:val="HTMLCite"/>
          <w:i w:val="0"/>
          <w:rtl/>
        </w:rPr>
      </w:pPr>
      <w:r>
        <w:rPr>
          <w:color w:val="000000" w:themeColor="text1"/>
        </w:rPr>
        <w:t xml:space="preserve">Kunda, Z. (1990). </w:t>
      </w:r>
      <w:hyperlink r:id="rId18" w:history="1">
        <w:r>
          <w:rPr>
            <w:rStyle w:val="pdflink"/>
            <w:color w:val="000000" w:themeColor="text1"/>
          </w:rPr>
          <w:t>The case for motivated reasoning</w:t>
        </w:r>
      </w:hyperlink>
      <w:r>
        <w:rPr>
          <w:color w:val="000000" w:themeColor="text1"/>
        </w:rPr>
        <w:t xml:space="preserve">. </w:t>
      </w:r>
      <w:r>
        <w:rPr>
          <w:i/>
          <w:iCs/>
          <w:color w:val="000000" w:themeColor="text1"/>
        </w:rPr>
        <w:t>Psychological Bulletin, 108</w:t>
      </w:r>
      <w:r>
        <w:rPr>
          <w:color w:val="000000" w:themeColor="text1"/>
        </w:rPr>
        <w:t xml:space="preserve">, </w:t>
      </w:r>
      <w:r>
        <w:rPr>
          <w:rFonts w:hint="cs"/>
          <w:color w:val="000000" w:themeColor="text1"/>
          <w:rtl/>
        </w:rPr>
        <w:t>480-498.</w:t>
      </w:r>
    </w:p>
    <w:p w14:paraId="0421D541" w14:textId="0790C40B" w:rsidR="0032311C" w:rsidRPr="00ED6EDE" w:rsidRDefault="0032311C" w:rsidP="00197D66">
      <w:pPr>
        <w:pStyle w:val="StandardParagraph"/>
        <w:bidi/>
        <w:rPr>
          <w:rStyle w:val="HTMLCite"/>
          <w:i w:val="0"/>
          <w:rtl/>
        </w:rPr>
      </w:pPr>
      <w:r>
        <w:rPr>
          <w:rStyle w:val="HTMLCite"/>
          <w:i w:val="0"/>
          <w:iCs w:val="0"/>
        </w:rPr>
        <w:t xml:space="preserve">Molinsky, A.L., &amp; Margolis, J.D. (2005). Necessary evils and interpersonal sensitivity in organizations. </w:t>
      </w:r>
      <w:r>
        <w:rPr>
          <w:rStyle w:val="HTMLCite"/>
        </w:rPr>
        <w:t>Academy of Management Review, 30</w:t>
      </w:r>
      <w:r>
        <w:rPr>
          <w:rStyle w:val="HTMLCite"/>
          <w:i w:val="0"/>
          <w:iCs w:val="0"/>
        </w:rPr>
        <w:t xml:space="preserve">, </w:t>
      </w:r>
      <w:r>
        <w:rPr>
          <w:rStyle w:val="HTMLCite"/>
          <w:rFonts w:hint="cs"/>
          <w:i w:val="0"/>
          <w:iCs w:val="0"/>
          <w:rtl/>
        </w:rPr>
        <w:t>245-268.</w:t>
      </w:r>
      <w:r>
        <w:rPr>
          <w:rStyle w:val="HTMLCite"/>
          <w:i w:val="0"/>
          <w:iCs w:val="0"/>
        </w:rPr>
        <w:t xml:space="preserve"> </w:t>
      </w:r>
    </w:p>
    <w:p w14:paraId="0D031E5D" w14:textId="0E3FBD01" w:rsidR="00B97C27" w:rsidRPr="00ED6EDE" w:rsidRDefault="00B97C27" w:rsidP="004512B3">
      <w:pPr>
        <w:pStyle w:val="StandardParagraph"/>
        <w:bidi/>
        <w:rPr>
          <w:rStyle w:val="HTMLCite"/>
          <w:i w:val="0"/>
          <w:rtl/>
        </w:rPr>
      </w:pPr>
      <w:r>
        <w:rPr>
          <w:rStyle w:val="HTMLCite"/>
          <w:i w:val="0"/>
          <w:iCs w:val="0"/>
        </w:rPr>
        <w:t>Mill, J.S. (</w:t>
      </w:r>
      <w:r>
        <w:rPr>
          <w:rStyle w:val="HTMLCite"/>
          <w:rFonts w:hint="cs"/>
          <w:i w:val="0"/>
          <w:iCs w:val="0"/>
          <w:rtl/>
        </w:rPr>
        <w:t>1863/1998).</w:t>
      </w:r>
      <w:r>
        <w:rPr>
          <w:rStyle w:val="HTMLCite"/>
          <w:i w:val="0"/>
          <w:iCs w:val="0"/>
        </w:rPr>
        <w:t xml:space="preserve"> </w:t>
      </w:r>
      <w:r>
        <w:rPr>
          <w:rStyle w:val="HTMLCite"/>
        </w:rPr>
        <w:t>Utilitarianism.</w:t>
      </w:r>
      <w:r>
        <w:rPr>
          <w:rStyle w:val="HTMLCite"/>
          <w:i w:val="0"/>
          <w:iCs w:val="0"/>
        </w:rPr>
        <w:t xml:space="preserve"> Oxford University Press.</w:t>
      </w:r>
    </w:p>
    <w:p w14:paraId="76FC6F14" w14:textId="57BD87A0" w:rsidR="00D75BEE" w:rsidRPr="00ED6EDE" w:rsidRDefault="00D75BEE" w:rsidP="00197D66">
      <w:pPr>
        <w:pStyle w:val="StandardParagraph"/>
        <w:bidi/>
        <w:rPr>
          <w:rFonts w:eastAsiaTheme="minorEastAsia"/>
          <w:rtl/>
        </w:rPr>
      </w:pPr>
      <w:r>
        <w:t xml:space="preserve">Smart, J. J. C., &amp; Williams, B. (1973). </w:t>
      </w:r>
      <w:r>
        <w:rPr>
          <w:i/>
          <w:iCs/>
        </w:rPr>
        <w:t xml:space="preserve">Utilitarianism: For and against. </w:t>
      </w:r>
      <w:r>
        <w:t>Cambridge, UK:Cambridge University Press.</w:t>
      </w:r>
    </w:p>
    <w:p w14:paraId="506354B7" w14:textId="1D08F6B8" w:rsidR="00B97C27" w:rsidRPr="00ED6EDE" w:rsidRDefault="00B97C27" w:rsidP="00197D66">
      <w:pPr>
        <w:pStyle w:val="StandardParagraph"/>
        <w:bidi/>
        <w:rPr>
          <w:rtl/>
        </w:rPr>
      </w:pPr>
      <w:r w:rsidRPr="00C060AB">
        <w:rPr>
          <w:lang w:val="fr-FR"/>
        </w:rPr>
        <w:t xml:space="preserve">Uhlmann, E.L., Zhu, L., &amp; Tannenbaum, D. (2013). </w:t>
      </w:r>
      <w:r>
        <w:t xml:space="preserve">When it takes a bad person to do the right thing. </w:t>
      </w:r>
      <w:r>
        <w:rPr>
          <w:i/>
          <w:iCs/>
        </w:rPr>
        <w:t xml:space="preserve">Cognition, 126, </w:t>
      </w:r>
      <w:r>
        <w:rPr>
          <w:rFonts w:hint="cs"/>
          <w:rtl/>
        </w:rPr>
        <w:t>326-334.</w:t>
      </w:r>
    </w:p>
    <w:p w14:paraId="00565FA9" w14:textId="7BEDB267" w:rsidR="00653C70" w:rsidRPr="00197D66" w:rsidRDefault="00931ADE" w:rsidP="00197D66">
      <w:pPr>
        <w:pStyle w:val="StandardParagraph"/>
        <w:bidi/>
        <w:rPr>
          <w:i/>
          <w:iCs/>
          <w:rtl/>
        </w:rPr>
      </w:pPr>
      <w:r>
        <w:rPr>
          <w:rStyle w:val="HTMLCite"/>
          <w:i w:val="0"/>
          <w:iCs w:val="0"/>
        </w:rPr>
        <w:t>Weinstein, N.D. (</w:t>
      </w:r>
      <w:r>
        <w:rPr>
          <w:rStyle w:val="HTMLCite"/>
          <w:rFonts w:hint="cs"/>
          <w:i w:val="0"/>
          <w:iCs w:val="0"/>
          <w:rtl/>
        </w:rPr>
        <w:t>1980).</w:t>
      </w:r>
      <w:r>
        <w:rPr>
          <w:rStyle w:val="HTMLCite"/>
          <w:i w:val="0"/>
          <w:iCs w:val="0"/>
        </w:rPr>
        <w:t xml:space="preserve"> Unrealistic optimism about future life events. </w:t>
      </w:r>
      <w:r>
        <w:rPr>
          <w:rStyle w:val="HTMLCite"/>
        </w:rPr>
        <w:t>Journal of Personality and Social Psychology</w:t>
      </w:r>
      <w:r>
        <w:rPr>
          <w:rStyle w:val="HTMLCite"/>
          <w:i w:val="0"/>
          <w:iCs w:val="0"/>
        </w:rPr>
        <w:t xml:space="preserve">, </w:t>
      </w:r>
      <w:r>
        <w:rPr>
          <w:rStyle w:val="HTMLCite"/>
          <w:rFonts w:hint="cs"/>
          <w:rtl/>
        </w:rPr>
        <w:t>39</w:t>
      </w:r>
      <w:r>
        <w:rPr>
          <w:rStyle w:val="HTMLCite"/>
          <w:rFonts w:hint="cs"/>
          <w:i w:val="0"/>
          <w:iCs w:val="0"/>
          <w:rtl/>
        </w:rPr>
        <w:t>(5), 806–820.</w:t>
      </w:r>
    </w:p>
    <w:sectPr w:rsidR="00653C70" w:rsidRPr="00197D66" w:rsidSect="007868C8">
      <w:headerReference w:type="default" r:id="rId19"/>
      <w:footerReference w:type="default" r:id="rId20"/>
      <w:pgSz w:w="11900" w:h="16840" w:code="9"/>
      <w:pgMar w:top="2126"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68095" w14:textId="77777777" w:rsidR="00E355C8" w:rsidRDefault="00E355C8" w:rsidP="00D97F71">
      <w:r>
        <w:separator/>
      </w:r>
    </w:p>
  </w:endnote>
  <w:endnote w:type="continuationSeparator" w:id="0">
    <w:p w14:paraId="6FAABAD7" w14:textId="77777777" w:rsidR="00E355C8" w:rsidRDefault="00E355C8" w:rsidP="00D97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8F3F3" w14:textId="77777777" w:rsidR="00AC4E15" w:rsidRDefault="00AC4E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20447" w14:textId="77777777" w:rsidR="00AC4E15" w:rsidRDefault="00AC4E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C980F" w14:textId="77777777" w:rsidR="00AC4E15" w:rsidRDefault="00AC4E1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C0A61" w14:textId="77777777" w:rsidR="007868C8" w:rsidRPr="007868C8" w:rsidRDefault="007868C8" w:rsidP="007868C8">
    <w:pPr>
      <w:tabs>
        <w:tab w:val="right" w:pos="9026"/>
      </w:tabs>
      <w:bidi/>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7868C8">
      <w:rPr>
        <w:rFonts w:ascii="Roboto" w:eastAsia="Times New Roman" w:hAnsi="Roboto" w:cs="Arial" w:hint="cs"/>
        <w:sz w:val="20"/>
        <w:rtl/>
      </w:rPr>
      <w:fldChar w:fldCharType="begin"/>
    </w:r>
    <w:r>
      <w:rPr>
        <w:rtl/>
      </w:rPr>
      <w:instrText xml:space="preserve"> </w:instrText>
    </w:r>
    <w:r w:rsidRPr="007868C8">
      <w:rPr>
        <w:rFonts w:ascii="Roboto" w:eastAsia="Times New Roman" w:hAnsi="Roboto" w:cs="Arial" w:hint="cs"/>
        <w:sz w:val="20"/>
      </w:rPr>
      <w:instrText xml:space="preserve">PAGE   \* MERGEFORMAT </w:instrText>
    </w:r>
    <w:r w:rsidRPr="007868C8">
      <w:rPr>
        <w:rFonts w:ascii="Roboto" w:eastAsia="Times New Roman" w:hAnsi="Roboto" w:cs="Arial" w:hint="cs"/>
        <w:sz w:val="20"/>
        <w:rtl/>
      </w:rPr>
      <w:fldChar w:fldCharType="separate"/>
    </w:r>
    <w:r w:rsidRPr="007868C8">
      <w:rPr>
        <w:rFonts w:ascii="Roboto" w:eastAsia="Times New Roman" w:hAnsi="Roboto" w:cs="Arial" w:hint="cs"/>
        <w:sz w:val="20"/>
        <w:rtl/>
      </w:rPr>
      <w:t>1</w:t>
    </w:r>
    <w:r w:rsidRPr="007868C8">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3FF324" w14:textId="77777777" w:rsidR="00E355C8" w:rsidRDefault="00E355C8" w:rsidP="00D97F71">
      <w:r>
        <w:separator/>
      </w:r>
    </w:p>
  </w:footnote>
  <w:footnote w:type="continuationSeparator" w:id="0">
    <w:p w14:paraId="6798BA6E" w14:textId="77777777" w:rsidR="00E355C8" w:rsidRDefault="00E355C8" w:rsidP="00D97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7F10D" w14:textId="77777777" w:rsidR="00AC4E15" w:rsidRDefault="00AC4E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FB70C" w14:textId="5BD79FEB" w:rsidR="00DF2EF0" w:rsidRPr="00BD5D8A" w:rsidRDefault="00BD5D8A" w:rsidP="00AC4E15">
    <w:pPr>
      <w:pStyle w:val="Header"/>
      <w:bidi/>
      <w:ind w:left="-851"/>
      <w:rPr>
        <w:rtl/>
      </w:rPr>
    </w:pPr>
    <w:r>
      <w:rPr>
        <w:rFonts w:ascii="Times New Roman" w:hAnsi="Times New Roman" w:hint="cs"/>
        <w:noProof/>
        <w:rtl/>
      </w:rPr>
      <w:drawing>
        <wp:inline distT="0" distB="0" distL="0" distR="0" wp14:anchorId="7A1EF327" wp14:editId="106317E1">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72E5F" w14:textId="77777777" w:rsidR="00AC4E15" w:rsidRDefault="00AC4E1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CBE55" w14:textId="707AB2F8" w:rsidR="00BD5D8A" w:rsidRDefault="00BD5D8A" w:rsidP="00BD5D8A">
    <w:pPr>
      <w:pStyle w:val="Header"/>
      <w:tabs>
        <w:tab w:val="clear" w:pos="4513"/>
        <w:tab w:val="clear" w:pos="9026"/>
        <w:tab w:val="left" w:pos="6468"/>
      </w:tabs>
      <w:bidi/>
      <w:rPr>
        <w:rtl/>
      </w:rPr>
    </w:pPr>
    <w:r>
      <w:rPr>
        <w:rFonts w:ascii="Times New Roman" w:hAnsi="Times New Roman" w:hint="cs"/>
        <w:noProof/>
        <w:rtl/>
      </w:rPr>
      <w:drawing>
        <wp:inline distT="0" distB="0" distL="0" distR="0" wp14:anchorId="6B19EA9C" wp14:editId="5C4A50D1">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98207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915E17"/>
    <w:multiLevelType w:val="hybridMultilevel"/>
    <w:tmpl w:val="A3F22368"/>
    <w:lvl w:ilvl="0" w:tplc="A28EB0C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C74D7"/>
    <w:multiLevelType w:val="hybridMultilevel"/>
    <w:tmpl w:val="38744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6E204E"/>
    <w:multiLevelType w:val="hybridMultilevel"/>
    <w:tmpl w:val="DEDC3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9544BE"/>
    <w:multiLevelType w:val="hybridMultilevel"/>
    <w:tmpl w:val="BF1AD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047C6F"/>
    <w:multiLevelType w:val="hybridMultilevel"/>
    <w:tmpl w:val="F3105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707BA"/>
    <w:multiLevelType w:val="hybridMultilevel"/>
    <w:tmpl w:val="2C88B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F1882"/>
    <w:multiLevelType w:val="hybridMultilevel"/>
    <w:tmpl w:val="B9BAC8A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1BAE1F40"/>
    <w:multiLevelType w:val="hybridMultilevel"/>
    <w:tmpl w:val="47BA113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1DAD1BD6"/>
    <w:multiLevelType w:val="hybridMultilevel"/>
    <w:tmpl w:val="149C1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7C353F"/>
    <w:multiLevelType w:val="hybridMultilevel"/>
    <w:tmpl w:val="27206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3020FB"/>
    <w:multiLevelType w:val="hybridMultilevel"/>
    <w:tmpl w:val="10C49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1D5D19"/>
    <w:multiLevelType w:val="hybridMultilevel"/>
    <w:tmpl w:val="76F2A3FC"/>
    <w:lvl w:ilvl="0" w:tplc="6BB45028">
      <w:start w:val="1"/>
      <w:numFmt w:val="decimal"/>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273017B8"/>
    <w:multiLevelType w:val="hybridMultilevel"/>
    <w:tmpl w:val="0834FC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54C5B3F"/>
    <w:multiLevelType w:val="hybridMultilevel"/>
    <w:tmpl w:val="86722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A92693"/>
    <w:multiLevelType w:val="hybridMultilevel"/>
    <w:tmpl w:val="1102DE88"/>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15:restartNumberingAfterBreak="0">
    <w:nsid w:val="39510C72"/>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DD796B"/>
    <w:multiLevelType w:val="hybridMultilevel"/>
    <w:tmpl w:val="90CA37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AF744C3"/>
    <w:multiLevelType w:val="hybridMultilevel"/>
    <w:tmpl w:val="A8CAE580"/>
    <w:lvl w:ilvl="0" w:tplc="FC3C306C">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CAC6614"/>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E4398B"/>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DA73F3"/>
    <w:multiLevelType w:val="hybridMultilevel"/>
    <w:tmpl w:val="E0A84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030F90"/>
    <w:multiLevelType w:val="hybridMultilevel"/>
    <w:tmpl w:val="2BD63DE2"/>
    <w:lvl w:ilvl="0" w:tplc="758E42CE">
      <w:start w:val="1"/>
      <w:numFmt w:val="decimal"/>
      <w:lvlText w:val="%1)"/>
      <w:lvlJc w:val="left"/>
      <w:pPr>
        <w:ind w:left="720" w:hanging="36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15:restartNumberingAfterBreak="0">
    <w:nsid w:val="41E35EE1"/>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226750"/>
    <w:multiLevelType w:val="hybridMultilevel"/>
    <w:tmpl w:val="8F08C9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5DE20E2">
      <w:start w:val="2"/>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EE4BF2"/>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A24BBC"/>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B24000"/>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F12CCE"/>
    <w:multiLevelType w:val="hybridMultilevel"/>
    <w:tmpl w:val="49E41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3A798B"/>
    <w:multiLevelType w:val="hybridMultilevel"/>
    <w:tmpl w:val="5B2C2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816739"/>
    <w:multiLevelType w:val="hybridMultilevel"/>
    <w:tmpl w:val="2BB2B434"/>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F52CA9"/>
    <w:multiLevelType w:val="hybridMultilevel"/>
    <w:tmpl w:val="A4BEB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CD0E68"/>
    <w:multiLevelType w:val="hybridMultilevel"/>
    <w:tmpl w:val="C08A1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856E32"/>
    <w:multiLevelType w:val="hybridMultilevel"/>
    <w:tmpl w:val="60A05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C566A7"/>
    <w:multiLevelType w:val="hybridMultilevel"/>
    <w:tmpl w:val="89D2D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5A0C77"/>
    <w:multiLevelType w:val="hybridMultilevel"/>
    <w:tmpl w:val="951A6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BD1D90"/>
    <w:multiLevelType w:val="hybridMultilevel"/>
    <w:tmpl w:val="CEAE787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9701529"/>
    <w:multiLevelType w:val="hybridMultilevel"/>
    <w:tmpl w:val="BD98FCE4"/>
    <w:lvl w:ilvl="0" w:tplc="839EB56E">
      <w:start w:val="1"/>
      <w:numFmt w:val="bullet"/>
      <w:lvlText w:val=""/>
      <w:lvlJc w:val="left"/>
      <w:pPr>
        <w:ind w:left="1080" w:hanging="360"/>
      </w:pPr>
      <w:rPr>
        <w:rFonts w:ascii="Wingdings" w:eastAsiaTheme="minorHAnsi" w:hAnsi="Wingdings" w:cs="Times New Roman"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38" w15:restartNumberingAfterBreak="0">
    <w:nsid w:val="7BD61245"/>
    <w:multiLevelType w:val="hybridMultilevel"/>
    <w:tmpl w:val="832463A8"/>
    <w:lvl w:ilvl="0" w:tplc="4809000F">
      <w:start w:val="4"/>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1043099977">
    <w:abstractNumId w:val="21"/>
  </w:num>
  <w:num w:numId="2" w16cid:durableId="1716848468">
    <w:abstractNumId w:val="32"/>
  </w:num>
  <w:num w:numId="3" w16cid:durableId="690960359">
    <w:abstractNumId w:val="4"/>
  </w:num>
  <w:num w:numId="4" w16cid:durableId="1866598653">
    <w:abstractNumId w:val="2"/>
  </w:num>
  <w:num w:numId="5" w16cid:durableId="1678578274">
    <w:abstractNumId w:val="28"/>
  </w:num>
  <w:num w:numId="6" w16cid:durableId="1462189364">
    <w:abstractNumId w:val="33"/>
  </w:num>
  <w:num w:numId="7" w16cid:durableId="1248616615">
    <w:abstractNumId w:val="6"/>
  </w:num>
  <w:num w:numId="8" w16cid:durableId="364402219">
    <w:abstractNumId w:val="17"/>
  </w:num>
  <w:num w:numId="9" w16cid:durableId="240524132">
    <w:abstractNumId w:val="36"/>
  </w:num>
  <w:num w:numId="10" w16cid:durableId="1273249870">
    <w:abstractNumId w:val="24"/>
  </w:num>
  <w:num w:numId="11" w16cid:durableId="1462724896">
    <w:abstractNumId w:val="31"/>
  </w:num>
  <w:num w:numId="12" w16cid:durableId="547425175">
    <w:abstractNumId w:val="12"/>
  </w:num>
  <w:num w:numId="13" w16cid:durableId="1893343384">
    <w:abstractNumId w:val="30"/>
  </w:num>
  <w:num w:numId="14" w16cid:durableId="688062573">
    <w:abstractNumId w:val="13"/>
  </w:num>
  <w:num w:numId="15" w16cid:durableId="1536767949">
    <w:abstractNumId w:val="18"/>
  </w:num>
  <w:num w:numId="16" w16cid:durableId="935527236">
    <w:abstractNumId w:val="35"/>
  </w:num>
  <w:num w:numId="17" w16cid:durableId="594167743">
    <w:abstractNumId w:val="15"/>
  </w:num>
  <w:num w:numId="18" w16cid:durableId="1222133379">
    <w:abstractNumId w:val="8"/>
  </w:num>
  <w:num w:numId="19" w16cid:durableId="1400446834">
    <w:abstractNumId w:val="7"/>
  </w:num>
  <w:num w:numId="20" w16cid:durableId="1632780991">
    <w:abstractNumId w:val="37"/>
  </w:num>
  <w:num w:numId="21" w16cid:durableId="1973100280">
    <w:abstractNumId w:val="22"/>
  </w:num>
  <w:num w:numId="22" w16cid:durableId="308243040">
    <w:abstractNumId w:val="1"/>
  </w:num>
  <w:num w:numId="23" w16cid:durableId="1873373939">
    <w:abstractNumId w:val="29"/>
  </w:num>
  <w:num w:numId="24" w16cid:durableId="1404834145">
    <w:abstractNumId w:val="10"/>
  </w:num>
  <w:num w:numId="25" w16cid:durableId="1446314498">
    <w:abstractNumId w:val="5"/>
  </w:num>
  <w:num w:numId="26" w16cid:durableId="219677524">
    <w:abstractNumId w:val="14"/>
  </w:num>
  <w:num w:numId="27" w16cid:durableId="1432314677">
    <w:abstractNumId w:val="38"/>
  </w:num>
  <w:num w:numId="28" w16cid:durableId="1693263875">
    <w:abstractNumId w:val="9"/>
  </w:num>
  <w:num w:numId="29" w16cid:durableId="802652020">
    <w:abstractNumId w:val="34"/>
  </w:num>
  <w:num w:numId="30" w16cid:durableId="1979459656">
    <w:abstractNumId w:val="3"/>
  </w:num>
  <w:num w:numId="31" w16cid:durableId="449981257">
    <w:abstractNumId w:val="11"/>
  </w:num>
  <w:num w:numId="32" w16cid:durableId="1685280749">
    <w:abstractNumId w:val="27"/>
  </w:num>
  <w:num w:numId="33" w16cid:durableId="1576085891">
    <w:abstractNumId w:val="20"/>
  </w:num>
  <w:num w:numId="34" w16cid:durableId="1059010587">
    <w:abstractNumId w:val="16"/>
  </w:num>
  <w:num w:numId="35" w16cid:durableId="929510962">
    <w:abstractNumId w:val="19"/>
  </w:num>
  <w:num w:numId="36" w16cid:durableId="1289896458">
    <w:abstractNumId w:val="26"/>
  </w:num>
  <w:num w:numId="37" w16cid:durableId="619337719">
    <w:abstractNumId w:val="25"/>
  </w:num>
  <w:num w:numId="38" w16cid:durableId="1355770488">
    <w:abstractNumId w:val="23"/>
  </w:num>
  <w:num w:numId="39" w16cid:durableId="423187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3094"/>
    <w:rsid w:val="0000405F"/>
    <w:rsid w:val="00006F6E"/>
    <w:rsid w:val="00010146"/>
    <w:rsid w:val="000156A3"/>
    <w:rsid w:val="00015F9D"/>
    <w:rsid w:val="000272D4"/>
    <w:rsid w:val="00037053"/>
    <w:rsid w:val="00042621"/>
    <w:rsid w:val="000461B5"/>
    <w:rsid w:val="00053123"/>
    <w:rsid w:val="00057C3C"/>
    <w:rsid w:val="00062035"/>
    <w:rsid w:val="00076103"/>
    <w:rsid w:val="00084E86"/>
    <w:rsid w:val="00092593"/>
    <w:rsid w:val="000927DD"/>
    <w:rsid w:val="00094CEB"/>
    <w:rsid w:val="000A07F3"/>
    <w:rsid w:val="000B0DB3"/>
    <w:rsid w:val="000B0F03"/>
    <w:rsid w:val="000B734B"/>
    <w:rsid w:val="000C27D3"/>
    <w:rsid w:val="000D0D3E"/>
    <w:rsid w:val="000D478D"/>
    <w:rsid w:val="000E201F"/>
    <w:rsid w:val="000E3CCF"/>
    <w:rsid w:val="000F1E79"/>
    <w:rsid w:val="000F1FC2"/>
    <w:rsid w:val="000F3A92"/>
    <w:rsid w:val="000F5B5C"/>
    <w:rsid w:val="000F7A69"/>
    <w:rsid w:val="00113C7E"/>
    <w:rsid w:val="00126647"/>
    <w:rsid w:val="001300AD"/>
    <w:rsid w:val="001304CB"/>
    <w:rsid w:val="00130E54"/>
    <w:rsid w:val="00132379"/>
    <w:rsid w:val="0013779A"/>
    <w:rsid w:val="00147711"/>
    <w:rsid w:val="0015009A"/>
    <w:rsid w:val="00160636"/>
    <w:rsid w:val="00161629"/>
    <w:rsid w:val="00175471"/>
    <w:rsid w:val="001918BE"/>
    <w:rsid w:val="00197D66"/>
    <w:rsid w:val="001B22BB"/>
    <w:rsid w:val="001B27B3"/>
    <w:rsid w:val="001C4185"/>
    <w:rsid w:val="001C5341"/>
    <w:rsid w:val="001C74AE"/>
    <w:rsid w:val="001E2CC5"/>
    <w:rsid w:val="001E6D99"/>
    <w:rsid w:val="001F0381"/>
    <w:rsid w:val="00202F76"/>
    <w:rsid w:val="00210206"/>
    <w:rsid w:val="00222848"/>
    <w:rsid w:val="00227BD7"/>
    <w:rsid w:val="00233662"/>
    <w:rsid w:val="0024067D"/>
    <w:rsid w:val="0024390A"/>
    <w:rsid w:val="00262FBA"/>
    <w:rsid w:val="00263C65"/>
    <w:rsid w:val="00285225"/>
    <w:rsid w:val="00291485"/>
    <w:rsid w:val="00292E94"/>
    <w:rsid w:val="002974D8"/>
    <w:rsid w:val="002A030F"/>
    <w:rsid w:val="002A3F73"/>
    <w:rsid w:val="002C151F"/>
    <w:rsid w:val="002C62F9"/>
    <w:rsid w:val="002C69A5"/>
    <w:rsid w:val="002D18D3"/>
    <w:rsid w:val="002D6FC8"/>
    <w:rsid w:val="002E248B"/>
    <w:rsid w:val="002E5FC2"/>
    <w:rsid w:val="002F67A5"/>
    <w:rsid w:val="00301289"/>
    <w:rsid w:val="00304C3B"/>
    <w:rsid w:val="0032311C"/>
    <w:rsid w:val="00325BB0"/>
    <w:rsid w:val="003271BA"/>
    <w:rsid w:val="00331009"/>
    <w:rsid w:val="00343042"/>
    <w:rsid w:val="00345AB9"/>
    <w:rsid w:val="00346C2A"/>
    <w:rsid w:val="003476FC"/>
    <w:rsid w:val="00363668"/>
    <w:rsid w:val="00365605"/>
    <w:rsid w:val="00371DA9"/>
    <w:rsid w:val="0038115D"/>
    <w:rsid w:val="0038635B"/>
    <w:rsid w:val="00393D09"/>
    <w:rsid w:val="0039436D"/>
    <w:rsid w:val="003A44B8"/>
    <w:rsid w:val="003C4427"/>
    <w:rsid w:val="003C5DB2"/>
    <w:rsid w:val="003D0E08"/>
    <w:rsid w:val="003E5409"/>
    <w:rsid w:val="003F2CDA"/>
    <w:rsid w:val="003F4BBC"/>
    <w:rsid w:val="003F4BBD"/>
    <w:rsid w:val="003F7DCC"/>
    <w:rsid w:val="00411656"/>
    <w:rsid w:val="00413094"/>
    <w:rsid w:val="0044160B"/>
    <w:rsid w:val="004512B3"/>
    <w:rsid w:val="00465779"/>
    <w:rsid w:val="0046781F"/>
    <w:rsid w:val="004703B8"/>
    <w:rsid w:val="004733CD"/>
    <w:rsid w:val="0047444C"/>
    <w:rsid w:val="00475B3D"/>
    <w:rsid w:val="00477BFF"/>
    <w:rsid w:val="004963B5"/>
    <w:rsid w:val="004971DF"/>
    <w:rsid w:val="004B2097"/>
    <w:rsid w:val="004B3C52"/>
    <w:rsid w:val="004B4522"/>
    <w:rsid w:val="004C2509"/>
    <w:rsid w:val="004D2A84"/>
    <w:rsid w:val="004D618D"/>
    <w:rsid w:val="004D7EF3"/>
    <w:rsid w:val="004F2807"/>
    <w:rsid w:val="00505DD5"/>
    <w:rsid w:val="00510363"/>
    <w:rsid w:val="00514C36"/>
    <w:rsid w:val="0051745C"/>
    <w:rsid w:val="00534EAE"/>
    <w:rsid w:val="00536C6B"/>
    <w:rsid w:val="0055326E"/>
    <w:rsid w:val="00557102"/>
    <w:rsid w:val="00560C8F"/>
    <w:rsid w:val="00561EC9"/>
    <w:rsid w:val="00574D91"/>
    <w:rsid w:val="00576AA5"/>
    <w:rsid w:val="005926F8"/>
    <w:rsid w:val="0059410D"/>
    <w:rsid w:val="005A41D8"/>
    <w:rsid w:val="005A5187"/>
    <w:rsid w:val="005C1533"/>
    <w:rsid w:val="005D3C4D"/>
    <w:rsid w:val="005E158E"/>
    <w:rsid w:val="005E7835"/>
    <w:rsid w:val="005F1C71"/>
    <w:rsid w:val="005F2707"/>
    <w:rsid w:val="005F2BE5"/>
    <w:rsid w:val="005F3678"/>
    <w:rsid w:val="005F48EA"/>
    <w:rsid w:val="005F5D39"/>
    <w:rsid w:val="005F7631"/>
    <w:rsid w:val="006059A4"/>
    <w:rsid w:val="00605D4D"/>
    <w:rsid w:val="0062064C"/>
    <w:rsid w:val="00646F06"/>
    <w:rsid w:val="00651586"/>
    <w:rsid w:val="00653C70"/>
    <w:rsid w:val="00663A62"/>
    <w:rsid w:val="0067348E"/>
    <w:rsid w:val="00680C31"/>
    <w:rsid w:val="00686E52"/>
    <w:rsid w:val="006917A6"/>
    <w:rsid w:val="006B6EEF"/>
    <w:rsid w:val="006C6F7A"/>
    <w:rsid w:val="006F21EB"/>
    <w:rsid w:val="006F387F"/>
    <w:rsid w:val="006F41B0"/>
    <w:rsid w:val="00701239"/>
    <w:rsid w:val="00701BA8"/>
    <w:rsid w:val="00707EB5"/>
    <w:rsid w:val="0071200B"/>
    <w:rsid w:val="00732676"/>
    <w:rsid w:val="007362CA"/>
    <w:rsid w:val="007376A7"/>
    <w:rsid w:val="00747420"/>
    <w:rsid w:val="00750C27"/>
    <w:rsid w:val="00751568"/>
    <w:rsid w:val="007536F2"/>
    <w:rsid w:val="00774D62"/>
    <w:rsid w:val="0077576B"/>
    <w:rsid w:val="00776313"/>
    <w:rsid w:val="00782477"/>
    <w:rsid w:val="007868C8"/>
    <w:rsid w:val="0079430F"/>
    <w:rsid w:val="00797B00"/>
    <w:rsid w:val="007A2D85"/>
    <w:rsid w:val="007A6541"/>
    <w:rsid w:val="007D4493"/>
    <w:rsid w:val="007D64D0"/>
    <w:rsid w:val="007E10D2"/>
    <w:rsid w:val="007E1454"/>
    <w:rsid w:val="007E2D2F"/>
    <w:rsid w:val="008152C5"/>
    <w:rsid w:val="008179E3"/>
    <w:rsid w:val="008201F1"/>
    <w:rsid w:val="0082055C"/>
    <w:rsid w:val="00821C86"/>
    <w:rsid w:val="00826245"/>
    <w:rsid w:val="00826DEF"/>
    <w:rsid w:val="008411B9"/>
    <w:rsid w:val="0088273B"/>
    <w:rsid w:val="00887D2D"/>
    <w:rsid w:val="008967C0"/>
    <w:rsid w:val="008A4B8A"/>
    <w:rsid w:val="008B07DB"/>
    <w:rsid w:val="008B09F6"/>
    <w:rsid w:val="008C1345"/>
    <w:rsid w:val="008C5469"/>
    <w:rsid w:val="008D33C2"/>
    <w:rsid w:val="008D7056"/>
    <w:rsid w:val="008E0575"/>
    <w:rsid w:val="008E1B99"/>
    <w:rsid w:val="008F1758"/>
    <w:rsid w:val="00901D46"/>
    <w:rsid w:val="009060C2"/>
    <w:rsid w:val="00931ADE"/>
    <w:rsid w:val="00950101"/>
    <w:rsid w:val="009573D2"/>
    <w:rsid w:val="00957A7C"/>
    <w:rsid w:val="00957F13"/>
    <w:rsid w:val="00960761"/>
    <w:rsid w:val="009614E6"/>
    <w:rsid w:val="00973C4E"/>
    <w:rsid w:val="00977A64"/>
    <w:rsid w:val="00980A74"/>
    <w:rsid w:val="009856BA"/>
    <w:rsid w:val="009A3A7C"/>
    <w:rsid w:val="009A3A8B"/>
    <w:rsid w:val="009A752D"/>
    <w:rsid w:val="009B1FCC"/>
    <w:rsid w:val="009B26A9"/>
    <w:rsid w:val="009D3C11"/>
    <w:rsid w:val="009D6DD4"/>
    <w:rsid w:val="009D7C51"/>
    <w:rsid w:val="009E511C"/>
    <w:rsid w:val="009E516A"/>
    <w:rsid w:val="009E694A"/>
    <w:rsid w:val="009F23B9"/>
    <w:rsid w:val="009F62AC"/>
    <w:rsid w:val="00A0203A"/>
    <w:rsid w:val="00A06CD1"/>
    <w:rsid w:val="00A15502"/>
    <w:rsid w:val="00A15A4C"/>
    <w:rsid w:val="00A204DB"/>
    <w:rsid w:val="00A23F61"/>
    <w:rsid w:val="00A4148A"/>
    <w:rsid w:val="00A44F92"/>
    <w:rsid w:val="00A53E72"/>
    <w:rsid w:val="00A56BE2"/>
    <w:rsid w:val="00A579B3"/>
    <w:rsid w:val="00A57B97"/>
    <w:rsid w:val="00A60646"/>
    <w:rsid w:val="00A91517"/>
    <w:rsid w:val="00A94F83"/>
    <w:rsid w:val="00A952B9"/>
    <w:rsid w:val="00AA743B"/>
    <w:rsid w:val="00AB27D4"/>
    <w:rsid w:val="00AB6C87"/>
    <w:rsid w:val="00AC1260"/>
    <w:rsid w:val="00AC4E15"/>
    <w:rsid w:val="00AC589A"/>
    <w:rsid w:val="00AC5A19"/>
    <w:rsid w:val="00AC5EAC"/>
    <w:rsid w:val="00AD1928"/>
    <w:rsid w:val="00AD6403"/>
    <w:rsid w:val="00AD64F9"/>
    <w:rsid w:val="00AE00D8"/>
    <w:rsid w:val="00AE61C7"/>
    <w:rsid w:val="00B033EB"/>
    <w:rsid w:val="00B06635"/>
    <w:rsid w:val="00B07114"/>
    <w:rsid w:val="00B13B7E"/>
    <w:rsid w:val="00B23313"/>
    <w:rsid w:val="00B24532"/>
    <w:rsid w:val="00B3653E"/>
    <w:rsid w:val="00B4584B"/>
    <w:rsid w:val="00B50582"/>
    <w:rsid w:val="00B5530F"/>
    <w:rsid w:val="00B64670"/>
    <w:rsid w:val="00B65741"/>
    <w:rsid w:val="00B74CB1"/>
    <w:rsid w:val="00B91906"/>
    <w:rsid w:val="00B93041"/>
    <w:rsid w:val="00B97C27"/>
    <w:rsid w:val="00BA6173"/>
    <w:rsid w:val="00BD56B5"/>
    <w:rsid w:val="00BD5D35"/>
    <w:rsid w:val="00BD5D8A"/>
    <w:rsid w:val="00BD613D"/>
    <w:rsid w:val="00BD6639"/>
    <w:rsid w:val="00BE70ED"/>
    <w:rsid w:val="00BF5CDE"/>
    <w:rsid w:val="00BF5FB9"/>
    <w:rsid w:val="00BF7636"/>
    <w:rsid w:val="00C01159"/>
    <w:rsid w:val="00C060AB"/>
    <w:rsid w:val="00C06562"/>
    <w:rsid w:val="00C10727"/>
    <w:rsid w:val="00C211CD"/>
    <w:rsid w:val="00C26B14"/>
    <w:rsid w:val="00C27523"/>
    <w:rsid w:val="00C27FCC"/>
    <w:rsid w:val="00C30D29"/>
    <w:rsid w:val="00C32316"/>
    <w:rsid w:val="00C35516"/>
    <w:rsid w:val="00C41779"/>
    <w:rsid w:val="00C424D5"/>
    <w:rsid w:val="00C63A9D"/>
    <w:rsid w:val="00C64043"/>
    <w:rsid w:val="00C84E3D"/>
    <w:rsid w:val="00C8690C"/>
    <w:rsid w:val="00C86B48"/>
    <w:rsid w:val="00C96A53"/>
    <w:rsid w:val="00CC6BC1"/>
    <w:rsid w:val="00CF2DD4"/>
    <w:rsid w:val="00CF2F2F"/>
    <w:rsid w:val="00CF39E2"/>
    <w:rsid w:val="00CF6FE3"/>
    <w:rsid w:val="00D0363F"/>
    <w:rsid w:val="00D11BAD"/>
    <w:rsid w:val="00D144C9"/>
    <w:rsid w:val="00D27765"/>
    <w:rsid w:val="00D46105"/>
    <w:rsid w:val="00D475FC"/>
    <w:rsid w:val="00D53AFB"/>
    <w:rsid w:val="00D548C1"/>
    <w:rsid w:val="00D63294"/>
    <w:rsid w:val="00D63D6C"/>
    <w:rsid w:val="00D668D2"/>
    <w:rsid w:val="00D75BEE"/>
    <w:rsid w:val="00D8334F"/>
    <w:rsid w:val="00D9440B"/>
    <w:rsid w:val="00D97F71"/>
    <w:rsid w:val="00DA5260"/>
    <w:rsid w:val="00DB0F15"/>
    <w:rsid w:val="00DB4929"/>
    <w:rsid w:val="00DB5C5E"/>
    <w:rsid w:val="00DB627F"/>
    <w:rsid w:val="00DB79CB"/>
    <w:rsid w:val="00DC4D99"/>
    <w:rsid w:val="00DC5EEF"/>
    <w:rsid w:val="00DD006E"/>
    <w:rsid w:val="00DD2CEB"/>
    <w:rsid w:val="00DD3E08"/>
    <w:rsid w:val="00DF2EF0"/>
    <w:rsid w:val="00DF4600"/>
    <w:rsid w:val="00E01FCE"/>
    <w:rsid w:val="00E06F33"/>
    <w:rsid w:val="00E155D8"/>
    <w:rsid w:val="00E2407E"/>
    <w:rsid w:val="00E355C8"/>
    <w:rsid w:val="00E3695A"/>
    <w:rsid w:val="00E44354"/>
    <w:rsid w:val="00E76D36"/>
    <w:rsid w:val="00E81969"/>
    <w:rsid w:val="00EA0DC0"/>
    <w:rsid w:val="00EA17AD"/>
    <w:rsid w:val="00EA7B39"/>
    <w:rsid w:val="00EB3A1C"/>
    <w:rsid w:val="00ED0BAC"/>
    <w:rsid w:val="00ED1638"/>
    <w:rsid w:val="00ED4E83"/>
    <w:rsid w:val="00ED6EDE"/>
    <w:rsid w:val="00ED78D4"/>
    <w:rsid w:val="00EF64E8"/>
    <w:rsid w:val="00F0224B"/>
    <w:rsid w:val="00F0545C"/>
    <w:rsid w:val="00F10BBE"/>
    <w:rsid w:val="00F12B44"/>
    <w:rsid w:val="00F1661C"/>
    <w:rsid w:val="00F24615"/>
    <w:rsid w:val="00F318F1"/>
    <w:rsid w:val="00F511E5"/>
    <w:rsid w:val="00F513E0"/>
    <w:rsid w:val="00F53028"/>
    <w:rsid w:val="00F54746"/>
    <w:rsid w:val="00F54EE9"/>
    <w:rsid w:val="00F62DD9"/>
    <w:rsid w:val="00F647EF"/>
    <w:rsid w:val="00F64AFF"/>
    <w:rsid w:val="00F66C46"/>
    <w:rsid w:val="00F6711D"/>
    <w:rsid w:val="00F71859"/>
    <w:rsid w:val="00F74A20"/>
    <w:rsid w:val="00F75071"/>
    <w:rsid w:val="00F943E2"/>
    <w:rsid w:val="00F97D47"/>
    <w:rsid w:val="00FA162A"/>
    <w:rsid w:val="00FB07AA"/>
    <w:rsid w:val="00FB762D"/>
    <w:rsid w:val="00FC4EF9"/>
    <w:rsid w:val="00FC70E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A783FE"/>
  <w15:docId w15:val="{F884A229-B2D4-41EA-8A19-0BE8B7090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EG"/>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75FC"/>
    <w:pPr>
      <w:spacing w:before="240" w:after="120"/>
      <w:outlineLvl w:val="0"/>
    </w:pPr>
    <w:rPr>
      <w:rFonts w:ascii="Times New Roman" w:eastAsia="Times New Roman" w:hAnsi="Times New Roman" w:cs="Times New Roman"/>
      <w:b/>
      <w:bCs/>
      <w:color w:val="000000"/>
      <w:kern w:val="36"/>
      <w:sz w:val="33"/>
      <w:szCs w:val="33"/>
      <w:lang w:val="en-SG" w:eastAsia="en-SG"/>
    </w:rPr>
  </w:style>
  <w:style w:type="paragraph" w:styleId="Heading2">
    <w:name w:val="heading 2"/>
    <w:basedOn w:val="Normal"/>
    <w:next w:val="Normal"/>
    <w:link w:val="Heading2Char"/>
    <w:uiPriority w:val="9"/>
    <w:unhideWhenUsed/>
    <w:qFormat/>
    <w:rsid w:val="003D0E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D0E08"/>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3041"/>
    <w:pPr>
      <w:ind w:left="720"/>
      <w:contextualSpacing/>
    </w:pPr>
  </w:style>
  <w:style w:type="character" w:styleId="Hyperlink">
    <w:name w:val="Hyperlink"/>
    <w:basedOn w:val="DefaultParagraphFont"/>
    <w:uiPriority w:val="99"/>
    <w:unhideWhenUsed/>
    <w:rsid w:val="000E3CCF"/>
    <w:rPr>
      <w:color w:val="0563C1" w:themeColor="hyperlink"/>
      <w:u w:val="single"/>
    </w:rPr>
  </w:style>
  <w:style w:type="character" w:styleId="CommentReference">
    <w:name w:val="annotation reference"/>
    <w:basedOn w:val="DefaultParagraphFont"/>
    <w:uiPriority w:val="99"/>
    <w:semiHidden/>
    <w:unhideWhenUsed/>
    <w:rsid w:val="006C6F7A"/>
    <w:rPr>
      <w:sz w:val="18"/>
      <w:szCs w:val="18"/>
    </w:rPr>
  </w:style>
  <w:style w:type="paragraph" w:styleId="CommentText">
    <w:name w:val="annotation text"/>
    <w:basedOn w:val="Normal"/>
    <w:link w:val="CommentTextChar"/>
    <w:uiPriority w:val="99"/>
    <w:unhideWhenUsed/>
    <w:rsid w:val="006C6F7A"/>
  </w:style>
  <w:style w:type="character" w:customStyle="1" w:styleId="CommentTextChar">
    <w:name w:val="Comment Text Char"/>
    <w:basedOn w:val="DefaultParagraphFont"/>
    <w:link w:val="CommentText"/>
    <w:uiPriority w:val="99"/>
    <w:rsid w:val="006C6F7A"/>
  </w:style>
  <w:style w:type="paragraph" w:styleId="CommentSubject">
    <w:name w:val="annotation subject"/>
    <w:basedOn w:val="CommentText"/>
    <w:next w:val="CommentText"/>
    <w:link w:val="CommentSubjectChar"/>
    <w:uiPriority w:val="99"/>
    <w:semiHidden/>
    <w:unhideWhenUsed/>
    <w:rsid w:val="006C6F7A"/>
    <w:rPr>
      <w:b/>
      <w:bCs/>
      <w:sz w:val="20"/>
      <w:szCs w:val="20"/>
    </w:rPr>
  </w:style>
  <w:style w:type="character" w:customStyle="1" w:styleId="CommentSubjectChar">
    <w:name w:val="Comment Subject Char"/>
    <w:basedOn w:val="CommentTextChar"/>
    <w:link w:val="CommentSubject"/>
    <w:uiPriority w:val="99"/>
    <w:semiHidden/>
    <w:rsid w:val="006C6F7A"/>
    <w:rPr>
      <w:b/>
      <w:bCs/>
      <w:sz w:val="20"/>
      <w:szCs w:val="20"/>
    </w:rPr>
  </w:style>
  <w:style w:type="paragraph" w:styleId="BalloonText">
    <w:name w:val="Balloon Text"/>
    <w:basedOn w:val="Normal"/>
    <w:link w:val="BalloonTextChar"/>
    <w:uiPriority w:val="99"/>
    <w:semiHidden/>
    <w:unhideWhenUsed/>
    <w:rsid w:val="006C6F7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C6F7A"/>
    <w:rPr>
      <w:rFonts w:ascii="Times New Roman" w:hAnsi="Times New Roman" w:cs="Times New Roman"/>
      <w:sz w:val="18"/>
      <w:szCs w:val="18"/>
    </w:rPr>
  </w:style>
  <w:style w:type="character" w:customStyle="1" w:styleId="reference-text">
    <w:name w:val="reference-text"/>
    <w:basedOn w:val="DefaultParagraphFont"/>
    <w:rsid w:val="00A204DB"/>
  </w:style>
  <w:style w:type="paragraph" w:styleId="Revision">
    <w:name w:val="Revision"/>
    <w:hidden/>
    <w:uiPriority w:val="99"/>
    <w:semiHidden/>
    <w:rsid w:val="00AD1928"/>
  </w:style>
  <w:style w:type="character" w:styleId="HTMLCite">
    <w:name w:val="HTML Cite"/>
    <w:basedOn w:val="DefaultParagraphFont"/>
    <w:uiPriority w:val="99"/>
    <w:semiHidden/>
    <w:unhideWhenUsed/>
    <w:rsid w:val="00B97C27"/>
    <w:rPr>
      <w:i/>
      <w:iCs/>
    </w:rPr>
  </w:style>
  <w:style w:type="character" w:customStyle="1" w:styleId="Heading1Char">
    <w:name w:val="Heading 1 Char"/>
    <w:basedOn w:val="DefaultParagraphFont"/>
    <w:link w:val="Heading1"/>
    <w:uiPriority w:val="9"/>
    <w:rsid w:val="00D475FC"/>
    <w:rPr>
      <w:rFonts w:ascii="Times New Roman" w:eastAsia="Times New Roman" w:hAnsi="Times New Roman" w:cs="Times New Roman"/>
      <w:b/>
      <w:bCs/>
      <w:color w:val="000000"/>
      <w:kern w:val="36"/>
      <w:sz w:val="33"/>
      <w:szCs w:val="33"/>
      <w:lang w:val="en-SG" w:eastAsia="en-SG"/>
    </w:rPr>
  </w:style>
  <w:style w:type="paragraph" w:styleId="Header">
    <w:name w:val="header"/>
    <w:basedOn w:val="Normal"/>
    <w:link w:val="HeaderChar"/>
    <w:uiPriority w:val="99"/>
    <w:unhideWhenUsed/>
    <w:rsid w:val="00D97F71"/>
    <w:pPr>
      <w:tabs>
        <w:tab w:val="center" w:pos="4513"/>
        <w:tab w:val="right" w:pos="9026"/>
      </w:tabs>
    </w:pPr>
  </w:style>
  <w:style w:type="character" w:customStyle="1" w:styleId="HeaderChar">
    <w:name w:val="Header Char"/>
    <w:basedOn w:val="DefaultParagraphFont"/>
    <w:link w:val="Header"/>
    <w:uiPriority w:val="99"/>
    <w:rsid w:val="00D97F71"/>
  </w:style>
  <w:style w:type="paragraph" w:styleId="Footer">
    <w:name w:val="footer"/>
    <w:basedOn w:val="Normal"/>
    <w:link w:val="FooterChar"/>
    <w:uiPriority w:val="99"/>
    <w:unhideWhenUsed/>
    <w:rsid w:val="00D97F71"/>
    <w:pPr>
      <w:tabs>
        <w:tab w:val="center" w:pos="4513"/>
        <w:tab w:val="right" w:pos="9026"/>
      </w:tabs>
    </w:pPr>
  </w:style>
  <w:style w:type="character" w:customStyle="1" w:styleId="FooterChar">
    <w:name w:val="Footer Char"/>
    <w:basedOn w:val="DefaultParagraphFont"/>
    <w:link w:val="Footer"/>
    <w:uiPriority w:val="99"/>
    <w:rsid w:val="00D97F71"/>
  </w:style>
  <w:style w:type="character" w:customStyle="1" w:styleId="Heading2Char">
    <w:name w:val="Heading 2 Char"/>
    <w:basedOn w:val="DefaultParagraphFont"/>
    <w:link w:val="Heading2"/>
    <w:uiPriority w:val="9"/>
    <w:rsid w:val="003D0E0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D0E08"/>
    <w:rPr>
      <w:rFonts w:asciiTheme="majorHAnsi" w:eastAsiaTheme="majorEastAsia" w:hAnsiTheme="majorHAnsi" w:cstheme="majorBidi"/>
      <w:color w:val="1F4D78" w:themeColor="accent1" w:themeShade="7F"/>
    </w:rPr>
  </w:style>
  <w:style w:type="paragraph" w:styleId="Title">
    <w:name w:val="Title"/>
    <w:basedOn w:val="Normal"/>
    <w:next w:val="Normal"/>
    <w:link w:val="TitleChar"/>
    <w:uiPriority w:val="10"/>
    <w:qFormat/>
    <w:rsid w:val="00774D62"/>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74D62"/>
    <w:rPr>
      <w:rFonts w:asciiTheme="majorHAnsi" w:eastAsiaTheme="majorEastAsia" w:hAnsiTheme="majorHAnsi" w:cstheme="majorBidi"/>
      <w:color w:val="323E4F" w:themeColor="text2" w:themeShade="BF"/>
      <w:spacing w:val="5"/>
      <w:kern w:val="28"/>
      <w:sz w:val="52"/>
      <w:szCs w:val="52"/>
    </w:rPr>
  </w:style>
  <w:style w:type="character" w:customStyle="1" w:styleId="pdflink">
    <w:name w:val="pdflink"/>
    <w:basedOn w:val="DefaultParagraphFont"/>
    <w:rsid w:val="00931ADE"/>
  </w:style>
  <w:style w:type="paragraph" w:customStyle="1" w:styleId="StandardParagraph">
    <w:name w:val="Standard Paragraph"/>
    <w:basedOn w:val="Normal"/>
    <w:link w:val="StandardParagraphChar"/>
    <w:qFormat/>
    <w:rsid w:val="00BD5D8A"/>
    <w:pPr>
      <w:tabs>
        <w:tab w:val="left" w:pos="5040"/>
      </w:tabs>
      <w:spacing w:after="240"/>
      <w:jc w:val="both"/>
    </w:pPr>
    <w:rPr>
      <w:rFonts w:ascii="Roboto" w:eastAsia="Times New Roman" w:hAnsi="Roboto" w:cs="Times New Roman"/>
      <w:sz w:val="22"/>
      <w:szCs w:val="22"/>
    </w:rPr>
  </w:style>
  <w:style w:type="character" w:customStyle="1" w:styleId="StandardParagraphChar">
    <w:name w:val="Standard Paragraph Char"/>
    <w:basedOn w:val="DefaultParagraphFont"/>
    <w:link w:val="StandardParagraph"/>
    <w:rsid w:val="00BD5D8A"/>
    <w:rPr>
      <w:rFonts w:ascii="Roboto" w:eastAsia="Times New Roman" w:hAnsi="Roboto" w:cs="Times New Roman"/>
      <w:sz w:val="22"/>
      <w:szCs w:val="22"/>
    </w:rPr>
  </w:style>
  <w:style w:type="paragraph" w:customStyle="1" w:styleId="Title1">
    <w:name w:val="Title 1"/>
    <w:basedOn w:val="Normal"/>
    <w:link w:val="Title1Char"/>
    <w:qFormat/>
    <w:rsid w:val="00BD5D8A"/>
    <w:pPr>
      <w:keepNext/>
      <w:spacing w:before="360" w:after="240"/>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BD5D8A"/>
    <w:rPr>
      <w:rFonts w:ascii="Roboto" w:eastAsiaTheme="minorEastAsia" w:hAnsi="Roboto" w:cs="Arial"/>
      <w:b/>
      <w:noProof/>
      <w:color w:val="00684B"/>
      <w:sz w:val="28"/>
      <w:szCs w:val="40"/>
    </w:rPr>
  </w:style>
  <w:style w:type="paragraph" w:customStyle="1" w:styleId="Indent1">
    <w:name w:val="Indent 1"/>
    <w:basedOn w:val="ListBullet"/>
    <w:link w:val="Indent1Char"/>
    <w:autoRedefine/>
    <w:qFormat/>
    <w:rsid w:val="00ED6EDE"/>
    <w:pPr>
      <w:tabs>
        <w:tab w:val="left" w:pos="3828"/>
        <w:tab w:val="left" w:pos="5812"/>
      </w:tabs>
      <w:spacing w:after="120"/>
      <w:jc w:val="both"/>
    </w:pPr>
    <w:rPr>
      <w:rFonts w:ascii="Roboto" w:eastAsia="Times New Roman" w:hAnsi="Roboto" w:cs="Times New Roman"/>
      <w:noProof/>
      <w:sz w:val="22"/>
      <w:lang w:val="en-GB"/>
    </w:rPr>
  </w:style>
  <w:style w:type="character" w:customStyle="1" w:styleId="Indent1Char">
    <w:name w:val="Indent 1 Char"/>
    <w:basedOn w:val="DefaultParagraphFont"/>
    <w:link w:val="Indent1"/>
    <w:rsid w:val="00ED6EDE"/>
    <w:rPr>
      <w:rFonts w:ascii="Roboto" w:eastAsia="Times New Roman" w:hAnsi="Roboto" w:cs="Times New Roman"/>
      <w:noProof/>
      <w:sz w:val="22"/>
      <w:lang w:val="en-GB"/>
    </w:rPr>
  </w:style>
  <w:style w:type="paragraph" w:styleId="ListBullet">
    <w:name w:val="List Bullet"/>
    <w:basedOn w:val="Normal"/>
    <w:uiPriority w:val="99"/>
    <w:semiHidden/>
    <w:unhideWhenUsed/>
    <w:rsid w:val="00ED6EDE"/>
    <w:pPr>
      <w:numPr>
        <w:numId w:val="39"/>
      </w:numPr>
      <w:contextualSpacing/>
    </w:pPr>
  </w:style>
  <w:style w:type="paragraph" w:customStyle="1" w:styleId="Exhibitno">
    <w:name w:val="Exhibit no"/>
    <w:basedOn w:val="Normal"/>
    <w:link w:val="ExhibitnoChar"/>
    <w:qFormat/>
    <w:rsid w:val="00ED6EDE"/>
    <w:pPr>
      <w:jc w:val="center"/>
    </w:pPr>
    <w:rPr>
      <w:rFonts w:ascii="Roboto" w:eastAsiaTheme="minorEastAsia" w:hAnsi="Roboto" w:cs="Arial"/>
      <w:b/>
      <w:color w:val="00684B"/>
      <w:szCs w:val="32"/>
    </w:rPr>
  </w:style>
  <w:style w:type="character" w:customStyle="1" w:styleId="ExhibitnoChar">
    <w:name w:val="Exhibit no Char"/>
    <w:basedOn w:val="DefaultParagraphFont"/>
    <w:link w:val="Exhibitno"/>
    <w:rsid w:val="00ED6EDE"/>
    <w:rPr>
      <w:rFonts w:ascii="Roboto" w:eastAsiaTheme="minorEastAsia" w:hAnsi="Roboto" w:cs="Arial"/>
      <w:b/>
      <w:color w:val="00684B"/>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3287940">
      <w:bodyDiv w:val="1"/>
      <w:marLeft w:val="0"/>
      <w:marRight w:val="0"/>
      <w:marTop w:val="0"/>
      <w:marBottom w:val="0"/>
      <w:divBdr>
        <w:top w:val="none" w:sz="0" w:space="0" w:color="auto"/>
        <w:left w:val="none" w:sz="0" w:space="0" w:color="auto"/>
        <w:bottom w:val="none" w:sz="0" w:space="0" w:color="auto"/>
        <w:right w:val="none" w:sz="0" w:space="0" w:color="auto"/>
      </w:divBdr>
      <w:divsChild>
        <w:div w:id="1796175257">
          <w:marLeft w:val="0"/>
          <w:marRight w:val="1"/>
          <w:marTop w:val="0"/>
          <w:marBottom w:val="0"/>
          <w:divBdr>
            <w:top w:val="none" w:sz="0" w:space="0" w:color="auto"/>
            <w:left w:val="none" w:sz="0" w:space="0" w:color="auto"/>
            <w:bottom w:val="none" w:sz="0" w:space="0" w:color="auto"/>
            <w:right w:val="none" w:sz="0" w:space="0" w:color="auto"/>
          </w:divBdr>
          <w:divsChild>
            <w:div w:id="1252814178">
              <w:marLeft w:val="0"/>
              <w:marRight w:val="0"/>
              <w:marTop w:val="0"/>
              <w:marBottom w:val="0"/>
              <w:divBdr>
                <w:top w:val="none" w:sz="0" w:space="0" w:color="auto"/>
                <w:left w:val="none" w:sz="0" w:space="0" w:color="auto"/>
                <w:bottom w:val="none" w:sz="0" w:space="0" w:color="auto"/>
                <w:right w:val="none" w:sz="0" w:space="0" w:color="auto"/>
              </w:divBdr>
              <w:divsChild>
                <w:div w:id="840318765">
                  <w:marLeft w:val="0"/>
                  <w:marRight w:val="1"/>
                  <w:marTop w:val="0"/>
                  <w:marBottom w:val="0"/>
                  <w:divBdr>
                    <w:top w:val="none" w:sz="0" w:space="0" w:color="auto"/>
                    <w:left w:val="none" w:sz="0" w:space="0" w:color="auto"/>
                    <w:bottom w:val="none" w:sz="0" w:space="0" w:color="auto"/>
                    <w:right w:val="none" w:sz="0" w:space="0" w:color="auto"/>
                  </w:divBdr>
                  <w:divsChild>
                    <w:div w:id="1965303328">
                      <w:marLeft w:val="0"/>
                      <w:marRight w:val="0"/>
                      <w:marTop w:val="0"/>
                      <w:marBottom w:val="0"/>
                      <w:divBdr>
                        <w:top w:val="none" w:sz="0" w:space="0" w:color="auto"/>
                        <w:left w:val="none" w:sz="0" w:space="0" w:color="auto"/>
                        <w:bottom w:val="none" w:sz="0" w:space="0" w:color="auto"/>
                        <w:right w:val="none" w:sz="0" w:space="0" w:color="auto"/>
                      </w:divBdr>
                      <w:divsChild>
                        <w:div w:id="835994622">
                          <w:marLeft w:val="0"/>
                          <w:marRight w:val="0"/>
                          <w:marTop w:val="0"/>
                          <w:marBottom w:val="0"/>
                          <w:divBdr>
                            <w:top w:val="none" w:sz="0" w:space="0" w:color="auto"/>
                            <w:left w:val="none" w:sz="0" w:space="0" w:color="auto"/>
                            <w:bottom w:val="none" w:sz="0" w:space="0" w:color="auto"/>
                            <w:right w:val="none" w:sz="0" w:space="0" w:color="auto"/>
                          </w:divBdr>
                          <w:divsChild>
                            <w:div w:id="654842479">
                              <w:marLeft w:val="0"/>
                              <w:marRight w:val="0"/>
                              <w:marTop w:val="120"/>
                              <w:marBottom w:val="360"/>
                              <w:divBdr>
                                <w:top w:val="none" w:sz="0" w:space="0" w:color="auto"/>
                                <w:left w:val="none" w:sz="0" w:space="0" w:color="auto"/>
                                <w:bottom w:val="none" w:sz="0" w:space="0" w:color="auto"/>
                                <w:right w:val="none" w:sz="0" w:space="0" w:color="auto"/>
                              </w:divBdr>
                              <w:divsChild>
                                <w:div w:id="339549440">
                                  <w:marLeft w:val="0"/>
                                  <w:marRight w:val="0"/>
                                  <w:marTop w:val="0"/>
                                  <w:marBottom w:val="0"/>
                                  <w:divBdr>
                                    <w:top w:val="none" w:sz="0" w:space="0" w:color="auto"/>
                                    <w:left w:val="none" w:sz="0" w:space="0" w:color="auto"/>
                                    <w:bottom w:val="none" w:sz="0" w:space="0" w:color="auto"/>
                                    <w:right w:val="none" w:sz="0" w:space="0" w:color="auto"/>
                                  </w:divBdr>
                                </w:div>
                                <w:div w:id="37049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header" Target="header3.xml"/><Relationship Id="rId18" Type="http://schemas.openxmlformats.org/officeDocument/2006/relationships/hyperlink" Target="http://cogsci.uwaterloo.ca/ziva/psychbul1990.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ncbi.nlm.nih.gov/pubmed/?term=Willer%20R%5bAuthor%5d&amp;cauthor=true&amp;cauthor_uid=23276265" TargetMode="External"/><Relationship Id="rId2" Type="http://schemas.openxmlformats.org/officeDocument/2006/relationships/numbering" Target="numbering.xml"/><Relationship Id="rId16" Type="http://schemas.openxmlformats.org/officeDocument/2006/relationships/hyperlink" Target="http://www.ncbi.nlm.nih.gov/pubmed/?term=Piff%20PK%5bAuthor%5d&amp;cauthor=true&amp;cauthor_uid=23276265"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ncbi.nlm.nih.gov/pubmed/?term=C&#244;t&#233;%20S%5bAuthor%5d&amp;cauthor=true&amp;cauthor_uid=23276265" TargetMode="Externa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F9156-BFE9-4BE5-8B9F-DCF64AE3F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1648</Words>
  <Characters>9068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Marcos</dc:creator>
  <cp:lastModifiedBy>LESCALLIER TRAQUET Emilie</cp:lastModifiedBy>
  <cp:revision>32</cp:revision>
  <cp:lastPrinted>2016-06-16T08:56:00Z</cp:lastPrinted>
  <dcterms:created xsi:type="dcterms:W3CDTF">2016-06-16T10:01:00Z</dcterms:created>
  <dcterms:modified xsi:type="dcterms:W3CDTF">2024-11-22T09:20:00Z</dcterms:modified>
</cp:coreProperties>
</file>